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AC680" w14:textId="77777777" w:rsidR="004E05A8" w:rsidRPr="00390B58" w:rsidRDefault="004E05A8" w:rsidP="00B345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0B58">
        <w:rPr>
          <w:rFonts w:ascii="Times New Roman" w:hAnsi="Times New Roman"/>
          <w:b/>
          <w:sz w:val="24"/>
          <w:szCs w:val="24"/>
        </w:rPr>
        <w:t>WYKAZ ZAGADNIEŃ NA EGZAMIN DYPLOMOWY NA STUDIA II STOPNIA</w:t>
      </w:r>
    </w:p>
    <w:p w14:paraId="453DF8A9" w14:textId="6F565052" w:rsidR="004E05A8" w:rsidRDefault="004E05A8" w:rsidP="00B345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0B58">
        <w:rPr>
          <w:rFonts w:ascii="Times New Roman" w:hAnsi="Times New Roman"/>
          <w:b/>
          <w:sz w:val="24"/>
          <w:szCs w:val="24"/>
        </w:rPr>
        <w:t>NA KIERUNKU FILOLOGIA POLSKA NA ROK AKAD. 20</w:t>
      </w:r>
      <w:r w:rsidR="001C5F5B" w:rsidRPr="00390B58">
        <w:rPr>
          <w:rFonts w:ascii="Times New Roman" w:hAnsi="Times New Roman"/>
          <w:b/>
          <w:sz w:val="24"/>
          <w:szCs w:val="24"/>
        </w:rPr>
        <w:t>21</w:t>
      </w:r>
      <w:r w:rsidRPr="00390B58">
        <w:rPr>
          <w:rFonts w:ascii="Times New Roman" w:hAnsi="Times New Roman"/>
          <w:b/>
          <w:sz w:val="24"/>
          <w:szCs w:val="24"/>
        </w:rPr>
        <w:t>/202</w:t>
      </w:r>
      <w:r w:rsidR="001C5F5B" w:rsidRPr="00390B58">
        <w:rPr>
          <w:rFonts w:ascii="Times New Roman" w:hAnsi="Times New Roman"/>
          <w:b/>
          <w:sz w:val="24"/>
          <w:szCs w:val="24"/>
        </w:rPr>
        <w:t>2</w:t>
      </w:r>
    </w:p>
    <w:p w14:paraId="16B58A2D" w14:textId="77777777" w:rsidR="00B34578" w:rsidRPr="00390B58" w:rsidRDefault="00B34578" w:rsidP="00B345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C9B996" w14:textId="341609D1" w:rsidR="004E05A8" w:rsidRDefault="0068028C" w:rsidP="00B34578">
      <w:pPr>
        <w:spacing w:after="0"/>
        <w:rPr>
          <w:rFonts w:ascii="Times New Roman" w:hAnsi="Times New Roman"/>
          <w:b/>
          <w:sz w:val="24"/>
          <w:szCs w:val="24"/>
        </w:rPr>
      </w:pPr>
      <w:r w:rsidRPr="00390B58">
        <w:rPr>
          <w:rFonts w:ascii="Times New Roman" w:hAnsi="Times New Roman"/>
          <w:b/>
          <w:sz w:val="24"/>
          <w:szCs w:val="24"/>
        </w:rPr>
        <w:t>SPECJALNOŚC</w:t>
      </w:r>
      <w:r w:rsidRPr="00390B58">
        <w:rPr>
          <w:rFonts w:ascii="Times New Roman" w:hAnsi="Times New Roman"/>
          <w:sz w:val="24"/>
          <w:szCs w:val="24"/>
        </w:rPr>
        <w:t xml:space="preserve">I </w:t>
      </w:r>
      <w:r w:rsidRPr="00390B58">
        <w:rPr>
          <w:rFonts w:ascii="Times New Roman" w:hAnsi="Times New Roman"/>
          <w:b/>
          <w:sz w:val="24"/>
          <w:szCs w:val="24"/>
        </w:rPr>
        <w:t>translatoryka i kreacja tekstu; język polski z logopedią</w:t>
      </w:r>
    </w:p>
    <w:p w14:paraId="4D82AC2D" w14:textId="77777777" w:rsidR="00B34578" w:rsidRPr="00390B58" w:rsidRDefault="00B34578" w:rsidP="00B34578">
      <w:pPr>
        <w:spacing w:after="0"/>
        <w:rPr>
          <w:rFonts w:ascii="Times New Roman" w:hAnsi="Times New Roman"/>
          <w:sz w:val="24"/>
          <w:szCs w:val="24"/>
        </w:rPr>
      </w:pPr>
    </w:p>
    <w:p w14:paraId="01E1812B" w14:textId="5346C7CE" w:rsidR="004E05A8" w:rsidRDefault="0068028C" w:rsidP="00B34578">
      <w:pPr>
        <w:spacing w:after="0"/>
        <w:rPr>
          <w:rFonts w:ascii="Times New Roman" w:hAnsi="Times New Roman"/>
          <w:b/>
          <w:sz w:val="24"/>
          <w:szCs w:val="24"/>
        </w:rPr>
      </w:pPr>
      <w:r w:rsidRPr="00390B58">
        <w:rPr>
          <w:rFonts w:ascii="Times New Roman" w:hAnsi="Times New Roman"/>
          <w:b/>
          <w:sz w:val="24"/>
          <w:szCs w:val="24"/>
        </w:rPr>
        <w:t xml:space="preserve">Literaturoznawstwo </w:t>
      </w:r>
    </w:p>
    <w:p w14:paraId="7A0ABF66" w14:textId="77777777" w:rsidR="00B34578" w:rsidRPr="00390B58" w:rsidRDefault="00B34578" w:rsidP="00B34578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32501A6" w14:textId="77777777" w:rsidR="004E05A8" w:rsidRPr="00390B58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Polskie kroniki średniowieczne. Strategie pisarskie i najważniejsze dzieła (Gall Anonim – Wincenty Kadłubek – Janko z Czarnkowa – księga henrykowska – Jan Długosz).</w:t>
      </w:r>
    </w:p>
    <w:p w14:paraId="7DBD0B87" w14:textId="77777777" w:rsidR="004E05A8" w:rsidRPr="00390B58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Podstawowe idee epoki renesansu i ich realizacja w twórczości polskich przedstawicieli tego nurtu (od Biernata z Lublina i poetów języka łacińskiego po późną twórczość Jana Kochanowskiego).</w:t>
      </w:r>
    </w:p>
    <w:p w14:paraId="58704329" w14:textId="77777777" w:rsidR="004E05A8" w:rsidRPr="00390B58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Epickie oblicze polskiego baroku. Nawiązania do eposu bohaterskiego (</w:t>
      </w:r>
      <w:r w:rsidRPr="00390B58">
        <w:rPr>
          <w:rFonts w:ascii="Times New Roman" w:hAnsi="Times New Roman"/>
          <w:i/>
          <w:sz w:val="24"/>
          <w:szCs w:val="24"/>
        </w:rPr>
        <w:t xml:space="preserve">Transakcja wojny chocimskiej </w:t>
      </w:r>
      <w:r w:rsidRPr="00390B58">
        <w:rPr>
          <w:rFonts w:ascii="Times New Roman" w:hAnsi="Times New Roman"/>
          <w:sz w:val="24"/>
          <w:szCs w:val="24"/>
        </w:rPr>
        <w:t>Potockiego, mesjady). Poematy Samuela Twardowskiego. Twórczość pamiętnikarska i kaznodziejska.</w:t>
      </w:r>
    </w:p>
    <w:p w14:paraId="65CD6551" w14:textId="7706999A" w:rsidR="004E05A8" w:rsidRPr="00390B58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Oświeceniowy poemat heroikomiczny: gatunek, autorzy i tematy. Nawiązania do literatury europejskiej (Boileau-Despréaux</w:t>
      </w:r>
      <w:r w:rsidR="00FB7665" w:rsidRPr="00390B58">
        <w:rPr>
          <w:rFonts w:ascii="Times New Roman" w:hAnsi="Times New Roman"/>
          <w:sz w:val="24"/>
          <w:szCs w:val="24"/>
        </w:rPr>
        <w:t>, Pope</w:t>
      </w:r>
      <w:r w:rsidRPr="00390B58">
        <w:rPr>
          <w:rFonts w:ascii="Times New Roman" w:hAnsi="Times New Roman"/>
          <w:sz w:val="24"/>
          <w:szCs w:val="24"/>
        </w:rPr>
        <w:t>). Krytyka wad i ironia.</w:t>
      </w:r>
    </w:p>
    <w:p w14:paraId="13B4C412" w14:textId="77777777" w:rsidR="004E05A8" w:rsidRPr="00390B58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Powieść poetycka polskiego romantyzmu. Cechy gatunkowe i najważniejsze utwory (Malczewski - Mickiewicz – Słowacki – Goszczyński – Berwiński - Pol). Sceneria kresowa jako polska odmiana orientalizmu.</w:t>
      </w:r>
    </w:p>
    <w:p w14:paraId="18D2B2BE" w14:textId="77777777" w:rsidR="004E05A8" w:rsidRPr="00390B58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 xml:space="preserve">Odbicie ideologii pozytywistycznej w literaturze tego okresu: naturalizm (Dygasiński, Sygietyński); idee pracy organicznej i pracy u podstaw w twórczości Elizy Orzeszkowej i Bolesława Prusa; emancypacja kobiet (Prus, Orzeszkowa); kwestia żydowska. Pierwiastki pozytywistyczne w poezji Adama Asnyka i Marii Konopnickiej. </w:t>
      </w:r>
    </w:p>
    <w:p w14:paraId="661FF272" w14:textId="77777777" w:rsidR="004E05A8" w:rsidRPr="00390B58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 xml:space="preserve">Dramaturgia Młodej Polski: symbolizm – preekspresjonizm – naturalizm (Wyspiański – </w:t>
      </w:r>
      <w:r w:rsidR="00EC110E" w:rsidRPr="00390B58">
        <w:rPr>
          <w:rFonts w:ascii="Times New Roman" w:hAnsi="Times New Roman"/>
          <w:sz w:val="24"/>
          <w:szCs w:val="24"/>
        </w:rPr>
        <w:t xml:space="preserve">Przybyszewski - </w:t>
      </w:r>
      <w:r w:rsidRPr="00390B58">
        <w:rPr>
          <w:rFonts w:ascii="Times New Roman" w:hAnsi="Times New Roman"/>
          <w:sz w:val="24"/>
          <w:szCs w:val="24"/>
        </w:rPr>
        <w:t xml:space="preserve">Miciński - Zapolska). </w:t>
      </w:r>
    </w:p>
    <w:p w14:paraId="72A4EDEE" w14:textId="77777777" w:rsidR="004E05A8" w:rsidRPr="00390B58" w:rsidRDefault="006262C7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Nowe tematy i formy poetyckie w liryce międzywojennej. Od Skamandra do Drugiej Awangardy. Tuwim</w:t>
      </w:r>
      <w:r w:rsidR="004E05A8" w:rsidRPr="00390B58">
        <w:rPr>
          <w:rFonts w:ascii="Times New Roman" w:hAnsi="Times New Roman"/>
          <w:sz w:val="24"/>
          <w:szCs w:val="24"/>
        </w:rPr>
        <w:t xml:space="preserve"> - </w:t>
      </w:r>
      <w:r w:rsidRPr="00390B58">
        <w:rPr>
          <w:rFonts w:ascii="Times New Roman" w:hAnsi="Times New Roman"/>
          <w:sz w:val="24"/>
          <w:szCs w:val="24"/>
        </w:rPr>
        <w:t>Wierzy</w:t>
      </w:r>
      <w:r w:rsidR="004E05A8" w:rsidRPr="00390B58">
        <w:rPr>
          <w:rFonts w:ascii="Times New Roman" w:hAnsi="Times New Roman"/>
          <w:sz w:val="24"/>
          <w:szCs w:val="24"/>
        </w:rPr>
        <w:t>ński</w:t>
      </w:r>
      <w:r w:rsidR="004E05A8" w:rsidRPr="00390B58">
        <w:rPr>
          <w:rFonts w:ascii="Times New Roman" w:hAnsi="Times New Roman"/>
          <w:i/>
          <w:sz w:val="24"/>
          <w:szCs w:val="24"/>
        </w:rPr>
        <w:t xml:space="preserve"> </w:t>
      </w:r>
      <w:r w:rsidRPr="00390B58">
        <w:rPr>
          <w:rFonts w:ascii="Times New Roman" w:hAnsi="Times New Roman"/>
          <w:sz w:val="24"/>
          <w:szCs w:val="24"/>
        </w:rPr>
        <w:t>–</w:t>
      </w:r>
      <w:r w:rsidR="004E05A8" w:rsidRPr="00390B58">
        <w:rPr>
          <w:rFonts w:ascii="Times New Roman" w:hAnsi="Times New Roman"/>
          <w:sz w:val="24"/>
          <w:szCs w:val="24"/>
        </w:rPr>
        <w:t xml:space="preserve"> </w:t>
      </w:r>
      <w:r w:rsidRPr="00390B58">
        <w:rPr>
          <w:rFonts w:ascii="Times New Roman" w:hAnsi="Times New Roman"/>
          <w:sz w:val="24"/>
          <w:szCs w:val="24"/>
        </w:rPr>
        <w:t>Iwaszkiewicz –</w:t>
      </w:r>
      <w:r w:rsidR="004E05A8" w:rsidRPr="00390B58">
        <w:rPr>
          <w:rFonts w:ascii="Times New Roman" w:hAnsi="Times New Roman"/>
          <w:sz w:val="24"/>
          <w:szCs w:val="24"/>
        </w:rPr>
        <w:t>Broniewski</w:t>
      </w:r>
      <w:r w:rsidRPr="00390B58">
        <w:rPr>
          <w:rFonts w:ascii="Times New Roman" w:hAnsi="Times New Roman"/>
          <w:sz w:val="24"/>
          <w:szCs w:val="24"/>
        </w:rPr>
        <w:t xml:space="preserve"> – Czyżewski </w:t>
      </w:r>
      <w:r w:rsidR="009869DC" w:rsidRPr="00390B58">
        <w:rPr>
          <w:rFonts w:ascii="Times New Roman" w:hAnsi="Times New Roman"/>
          <w:sz w:val="24"/>
          <w:szCs w:val="24"/>
        </w:rPr>
        <w:t xml:space="preserve">– Jasieński - Peiper – Przyboś – Czechowicz. </w:t>
      </w:r>
    </w:p>
    <w:p w14:paraId="3C48C097" w14:textId="77777777" w:rsidR="009869DC" w:rsidRPr="00390B58" w:rsidRDefault="009869DC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Psychologizm w prozie międzywo</w:t>
      </w:r>
      <w:r w:rsidR="006A0848" w:rsidRPr="00390B58">
        <w:rPr>
          <w:rFonts w:ascii="Times New Roman" w:hAnsi="Times New Roman"/>
          <w:sz w:val="24"/>
          <w:szCs w:val="24"/>
        </w:rPr>
        <w:t>jennej. Odmiany powieści</w:t>
      </w:r>
      <w:r w:rsidRPr="00390B58">
        <w:rPr>
          <w:rFonts w:ascii="Times New Roman" w:hAnsi="Times New Roman"/>
          <w:sz w:val="24"/>
          <w:szCs w:val="24"/>
        </w:rPr>
        <w:t xml:space="preserve"> psychologic</w:t>
      </w:r>
      <w:r w:rsidR="00E421F2" w:rsidRPr="00390B58">
        <w:rPr>
          <w:rFonts w:ascii="Times New Roman" w:hAnsi="Times New Roman"/>
          <w:sz w:val="24"/>
          <w:szCs w:val="24"/>
        </w:rPr>
        <w:t>znej: analityczna (genetyczny determinizm), fenomenalistyczna</w:t>
      </w:r>
      <w:r w:rsidRPr="00390B58">
        <w:rPr>
          <w:rFonts w:ascii="Times New Roman" w:hAnsi="Times New Roman"/>
          <w:sz w:val="24"/>
          <w:szCs w:val="24"/>
        </w:rPr>
        <w:t xml:space="preserve">, behawiorystyczna. Twórczość Kuncewiczowej, Nałkowskiej, Choromańskiego i Brezy. </w:t>
      </w:r>
    </w:p>
    <w:p w14:paraId="4E1147E2" w14:textId="77777777" w:rsidR="004E05A8" w:rsidRPr="00390B58" w:rsidRDefault="009869DC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Proza obozowa</w:t>
      </w:r>
      <w:r w:rsidR="004739E2" w:rsidRPr="00390B58">
        <w:rPr>
          <w:rFonts w:ascii="Times New Roman" w:hAnsi="Times New Roman"/>
          <w:sz w:val="24"/>
          <w:szCs w:val="24"/>
        </w:rPr>
        <w:t xml:space="preserve">. Tradycyjne schematy narracji martyrologicznej. Świadectwa zbrodni i oskarżenia ocalałych. </w:t>
      </w:r>
      <w:r w:rsidR="00634C98" w:rsidRPr="00390B58">
        <w:rPr>
          <w:rFonts w:ascii="Times New Roman" w:hAnsi="Times New Roman"/>
          <w:sz w:val="24"/>
          <w:szCs w:val="24"/>
        </w:rPr>
        <w:t>Funkcja solidarnej pamięci. Nowy typ doświadczeń egzystencjalnych – koncepcja „kamiennego świata” i odrzucenie kultury jako sfery uniwersalnej. Literatura faktu. Twórcy i ich dzieła</w:t>
      </w:r>
      <w:r w:rsidRPr="00390B58">
        <w:rPr>
          <w:rFonts w:ascii="Times New Roman" w:hAnsi="Times New Roman"/>
          <w:sz w:val="24"/>
          <w:szCs w:val="24"/>
        </w:rPr>
        <w:t xml:space="preserve">: </w:t>
      </w:r>
      <w:r w:rsidR="004E05A8" w:rsidRPr="00390B58">
        <w:rPr>
          <w:rFonts w:ascii="Times New Roman" w:hAnsi="Times New Roman"/>
          <w:sz w:val="24"/>
          <w:szCs w:val="24"/>
        </w:rPr>
        <w:t xml:space="preserve">Zofia Kossak-Szczucka </w:t>
      </w:r>
      <w:r w:rsidR="00634C98" w:rsidRPr="00390B58">
        <w:rPr>
          <w:rFonts w:ascii="Times New Roman" w:hAnsi="Times New Roman"/>
          <w:sz w:val="24"/>
          <w:szCs w:val="24"/>
        </w:rPr>
        <w:t xml:space="preserve">- </w:t>
      </w:r>
      <w:r w:rsidR="004E05A8" w:rsidRPr="00390B58">
        <w:rPr>
          <w:rFonts w:ascii="Times New Roman" w:hAnsi="Times New Roman"/>
          <w:i/>
          <w:sz w:val="24"/>
          <w:szCs w:val="24"/>
        </w:rPr>
        <w:t>Z otchłani</w:t>
      </w:r>
      <w:r w:rsidR="00634C98" w:rsidRPr="00390B58">
        <w:rPr>
          <w:rFonts w:ascii="Times New Roman" w:hAnsi="Times New Roman"/>
          <w:sz w:val="24"/>
          <w:szCs w:val="24"/>
        </w:rPr>
        <w:t xml:space="preserve">, Seweryna Szmaglewska - </w:t>
      </w:r>
      <w:r w:rsidR="00634C98" w:rsidRPr="00390B58">
        <w:rPr>
          <w:rFonts w:ascii="Times New Roman" w:hAnsi="Times New Roman"/>
          <w:i/>
          <w:sz w:val="24"/>
          <w:szCs w:val="24"/>
        </w:rPr>
        <w:t>Dymy nad Birkenau</w:t>
      </w:r>
      <w:r w:rsidR="00634C98" w:rsidRPr="00390B58">
        <w:rPr>
          <w:rFonts w:ascii="Times New Roman" w:hAnsi="Times New Roman"/>
          <w:sz w:val="24"/>
          <w:szCs w:val="24"/>
        </w:rPr>
        <w:t xml:space="preserve">, Gustaw Herling-Grudziński - </w:t>
      </w:r>
      <w:r w:rsidR="00634C98" w:rsidRPr="00390B58">
        <w:rPr>
          <w:rFonts w:ascii="Times New Roman" w:hAnsi="Times New Roman"/>
          <w:i/>
          <w:sz w:val="24"/>
          <w:szCs w:val="24"/>
        </w:rPr>
        <w:t>Inny świat</w:t>
      </w:r>
      <w:r w:rsidR="00634C98" w:rsidRPr="00390B58">
        <w:rPr>
          <w:rFonts w:ascii="Times New Roman" w:hAnsi="Times New Roman"/>
          <w:sz w:val="24"/>
          <w:szCs w:val="24"/>
        </w:rPr>
        <w:t>, .</w:t>
      </w:r>
      <w:r w:rsidR="004E05A8" w:rsidRPr="00390B58">
        <w:rPr>
          <w:rFonts w:ascii="Times New Roman" w:hAnsi="Times New Roman"/>
          <w:sz w:val="24"/>
          <w:szCs w:val="24"/>
        </w:rPr>
        <w:t>Zofia Nałkowska</w:t>
      </w:r>
      <w:r w:rsidR="00634C98" w:rsidRPr="00390B58">
        <w:rPr>
          <w:rFonts w:ascii="Times New Roman" w:hAnsi="Times New Roman"/>
          <w:sz w:val="24"/>
          <w:szCs w:val="24"/>
        </w:rPr>
        <w:t xml:space="preserve"> - </w:t>
      </w:r>
      <w:r w:rsidR="004E05A8" w:rsidRPr="00390B58">
        <w:rPr>
          <w:rFonts w:ascii="Times New Roman" w:hAnsi="Times New Roman"/>
          <w:i/>
          <w:sz w:val="24"/>
          <w:szCs w:val="24"/>
        </w:rPr>
        <w:t>Medaliony</w:t>
      </w:r>
      <w:r w:rsidR="00634C98" w:rsidRPr="00390B58">
        <w:rPr>
          <w:rFonts w:ascii="Times New Roman" w:hAnsi="Times New Roman"/>
          <w:sz w:val="24"/>
          <w:szCs w:val="24"/>
        </w:rPr>
        <w:t xml:space="preserve">, </w:t>
      </w:r>
      <w:r w:rsidR="004E05A8" w:rsidRPr="00390B58">
        <w:rPr>
          <w:rFonts w:ascii="Times New Roman" w:hAnsi="Times New Roman"/>
          <w:sz w:val="24"/>
          <w:szCs w:val="24"/>
        </w:rPr>
        <w:t>Tadeusz Borowski</w:t>
      </w:r>
      <w:r w:rsidR="00634C98" w:rsidRPr="00390B58">
        <w:rPr>
          <w:rFonts w:ascii="Times New Roman" w:hAnsi="Times New Roman"/>
          <w:sz w:val="24"/>
          <w:szCs w:val="24"/>
        </w:rPr>
        <w:t xml:space="preserve"> – </w:t>
      </w:r>
      <w:r w:rsidR="004E05A8" w:rsidRPr="00390B58">
        <w:rPr>
          <w:rFonts w:ascii="Times New Roman" w:hAnsi="Times New Roman"/>
          <w:sz w:val="24"/>
          <w:szCs w:val="24"/>
        </w:rPr>
        <w:t>opowiadania</w:t>
      </w:r>
      <w:r w:rsidR="00634C98" w:rsidRPr="00390B58">
        <w:rPr>
          <w:rFonts w:ascii="Times New Roman" w:hAnsi="Times New Roman"/>
          <w:sz w:val="24"/>
          <w:szCs w:val="24"/>
        </w:rPr>
        <w:t xml:space="preserve">, Stanisław Grzesiuk – </w:t>
      </w:r>
      <w:r w:rsidR="00634C98" w:rsidRPr="00390B58">
        <w:rPr>
          <w:rFonts w:ascii="Times New Roman" w:hAnsi="Times New Roman"/>
          <w:i/>
          <w:sz w:val="24"/>
          <w:szCs w:val="24"/>
        </w:rPr>
        <w:t>Pięć lat kacetu</w:t>
      </w:r>
      <w:r w:rsidR="00634C98" w:rsidRPr="00390B58">
        <w:rPr>
          <w:rFonts w:ascii="Times New Roman" w:hAnsi="Times New Roman"/>
          <w:sz w:val="24"/>
          <w:szCs w:val="24"/>
        </w:rPr>
        <w:t xml:space="preserve"> i inni.</w:t>
      </w:r>
      <w:r w:rsidR="004E05A8" w:rsidRPr="00390B58">
        <w:rPr>
          <w:rFonts w:ascii="Times New Roman" w:hAnsi="Times New Roman"/>
          <w:sz w:val="24"/>
          <w:szCs w:val="24"/>
        </w:rPr>
        <w:t xml:space="preserve"> </w:t>
      </w:r>
    </w:p>
    <w:p w14:paraId="07FF7994" w14:textId="6150803E" w:rsidR="004E05A8" w:rsidRPr="00390B58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Pokolenia i ugrupowania poetyckie</w:t>
      </w:r>
      <w:r w:rsidR="00634C98" w:rsidRPr="00390B58">
        <w:rPr>
          <w:rFonts w:ascii="Times New Roman" w:hAnsi="Times New Roman"/>
          <w:sz w:val="24"/>
          <w:szCs w:val="24"/>
        </w:rPr>
        <w:t xml:space="preserve"> w</w:t>
      </w:r>
      <w:r w:rsidRPr="00390B58">
        <w:rPr>
          <w:rFonts w:ascii="Times New Roman" w:hAnsi="Times New Roman"/>
          <w:sz w:val="24"/>
          <w:szCs w:val="24"/>
        </w:rPr>
        <w:t xml:space="preserve"> powojennej Polsce: od </w:t>
      </w:r>
      <w:r w:rsidR="00634C98" w:rsidRPr="00390B58">
        <w:rPr>
          <w:rFonts w:ascii="Times New Roman" w:hAnsi="Times New Roman"/>
          <w:sz w:val="24"/>
          <w:szCs w:val="24"/>
        </w:rPr>
        <w:t xml:space="preserve">„pryszczatych” i </w:t>
      </w:r>
      <w:r w:rsidRPr="00390B58">
        <w:rPr>
          <w:rFonts w:ascii="Times New Roman" w:hAnsi="Times New Roman"/>
          <w:sz w:val="24"/>
          <w:szCs w:val="24"/>
        </w:rPr>
        <w:t xml:space="preserve">„Współczesności” do </w:t>
      </w:r>
      <w:r w:rsidR="00634C98" w:rsidRPr="00390B58">
        <w:rPr>
          <w:rFonts w:ascii="Times New Roman" w:hAnsi="Times New Roman"/>
          <w:sz w:val="24"/>
          <w:szCs w:val="24"/>
        </w:rPr>
        <w:t>generacji</w:t>
      </w:r>
      <w:r w:rsidRPr="00390B58">
        <w:rPr>
          <w:rFonts w:ascii="Times New Roman" w:hAnsi="Times New Roman"/>
          <w:sz w:val="24"/>
          <w:szCs w:val="24"/>
        </w:rPr>
        <w:t xml:space="preserve"> „Brulionu”.</w:t>
      </w:r>
      <w:r w:rsidR="00FB7665" w:rsidRPr="00390B58">
        <w:rPr>
          <w:rFonts w:ascii="Times New Roman" w:hAnsi="Times New Roman"/>
          <w:sz w:val="24"/>
          <w:szCs w:val="24"/>
        </w:rPr>
        <w:t xml:space="preserve"> </w:t>
      </w:r>
    </w:p>
    <w:p w14:paraId="6EE7D963" w14:textId="77777777" w:rsidR="004E05A8" w:rsidRPr="00390B58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lastRenderedPageBreak/>
        <w:t>Poezja kobieca drugiej połowy XX wieku. Sensualizm poetycki Haliny Poświatowskiej i Anny Świrszczyńskiej. Poetyka paradoksu i ironia Wisławy Szymborskiej. Twórczość poetycka Ewy Lipskiej.</w:t>
      </w:r>
    </w:p>
    <w:p w14:paraId="4F8B94C3" w14:textId="79430F77" w:rsidR="004E05A8" w:rsidRPr="00390B58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90B58">
        <w:rPr>
          <w:rFonts w:ascii="Times New Roman" w:hAnsi="Times New Roman"/>
          <w:bCs/>
          <w:sz w:val="24"/>
          <w:szCs w:val="24"/>
        </w:rPr>
        <w:t xml:space="preserve">Polski esej literacki okresu powojennego: tematy i twórcy (np. </w:t>
      </w:r>
      <w:r w:rsidR="007A2914" w:rsidRPr="00390B58">
        <w:rPr>
          <w:rFonts w:ascii="Times New Roman" w:hAnsi="Times New Roman"/>
          <w:bCs/>
          <w:sz w:val="24"/>
          <w:szCs w:val="24"/>
        </w:rPr>
        <w:t xml:space="preserve">Jerzy Stempowski, </w:t>
      </w:r>
      <w:r w:rsidR="00E7229B" w:rsidRPr="00390B58">
        <w:rPr>
          <w:rFonts w:ascii="Times New Roman" w:hAnsi="Times New Roman"/>
          <w:bCs/>
          <w:sz w:val="24"/>
          <w:szCs w:val="24"/>
        </w:rPr>
        <w:t xml:space="preserve">Czesław Miłosz, </w:t>
      </w:r>
      <w:r w:rsidRPr="00390B58">
        <w:rPr>
          <w:rFonts w:ascii="Times New Roman" w:hAnsi="Times New Roman"/>
          <w:bCs/>
          <w:sz w:val="24"/>
          <w:szCs w:val="24"/>
        </w:rPr>
        <w:t>Mieczysław Jastrun</w:t>
      </w:r>
      <w:r w:rsidR="007A2914" w:rsidRPr="00390B58">
        <w:rPr>
          <w:rFonts w:ascii="Times New Roman" w:hAnsi="Times New Roman"/>
          <w:bCs/>
          <w:sz w:val="24"/>
          <w:szCs w:val="24"/>
        </w:rPr>
        <w:t>, Zbigniew</w:t>
      </w:r>
      <w:r w:rsidRPr="00390B58">
        <w:rPr>
          <w:rFonts w:ascii="Times New Roman" w:hAnsi="Times New Roman"/>
          <w:bCs/>
          <w:sz w:val="24"/>
          <w:szCs w:val="24"/>
        </w:rPr>
        <w:t xml:space="preserve"> Herbert, </w:t>
      </w:r>
      <w:r w:rsidR="006262C7" w:rsidRPr="00390B58">
        <w:rPr>
          <w:rFonts w:ascii="Times New Roman" w:hAnsi="Times New Roman"/>
          <w:bCs/>
          <w:sz w:val="24"/>
          <w:szCs w:val="24"/>
        </w:rPr>
        <w:t xml:space="preserve">Kazimierz Wyka, </w:t>
      </w:r>
      <w:r w:rsidR="007A2914" w:rsidRPr="00390B58">
        <w:rPr>
          <w:rFonts w:ascii="Times New Roman" w:hAnsi="Times New Roman"/>
          <w:bCs/>
          <w:sz w:val="24"/>
          <w:szCs w:val="24"/>
        </w:rPr>
        <w:t xml:space="preserve">Witold Gombrowicz, </w:t>
      </w:r>
      <w:r w:rsidRPr="00390B58">
        <w:rPr>
          <w:rFonts w:ascii="Times New Roman" w:hAnsi="Times New Roman"/>
          <w:bCs/>
          <w:sz w:val="24"/>
          <w:szCs w:val="24"/>
        </w:rPr>
        <w:t>Paw</w:t>
      </w:r>
      <w:r w:rsidR="007A2914" w:rsidRPr="00390B58">
        <w:rPr>
          <w:rFonts w:ascii="Times New Roman" w:hAnsi="Times New Roman"/>
          <w:bCs/>
          <w:sz w:val="24"/>
          <w:szCs w:val="24"/>
        </w:rPr>
        <w:t>eł</w:t>
      </w:r>
      <w:r w:rsidRPr="00390B58">
        <w:rPr>
          <w:rFonts w:ascii="Times New Roman" w:hAnsi="Times New Roman"/>
          <w:bCs/>
          <w:sz w:val="24"/>
          <w:szCs w:val="24"/>
        </w:rPr>
        <w:t xml:space="preserve"> Jasienic</w:t>
      </w:r>
      <w:r w:rsidR="007A2914" w:rsidRPr="00390B58">
        <w:rPr>
          <w:rFonts w:ascii="Times New Roman" w:hAnsi="Times New Roman"/>
          <w:bCs/>
          <w:sz w:val="24"/>
          <w:szCs w:val="24"/>
        </w:rPr>
        <w:t>a, Andrzej</w:t>
      </w:r>
      <w:r w:rsidRPr="00390B58">
        <w:rPr>
          <w:rFonts w:ascii="Times New Roman" w:hAnsi="Times New Roman"/>
          <w:bCs/>
          <w:sz w:val="24"/>
          <w:szCs w:val="24"/>
        </w:rPr>
        <w:t xml:space="preserve"> Stasiuk</w:t>
      </w:r>
      <w:r w:rsidR="006262C7" w:rsidRPr="00390B58">
        <w:rPr>
          <w:rFonts w:ascii="Times New Roman" w:hAnsi="Times New Roman"/>
          <w:bCs/>
          <w:sz w:val="24"/>
          <w:szCs w:val="24"/>
        </w:rPr>
        <w:t xml:space="preserve"> i inni</w:t>
      </w:r>
      <w:r w:rsidRPr="00390B58">
        <w:rPr>
          <w:rFonts w:ascii="Times New Roman" w:hAnsi="Times New Roman"/>
          <w:bCs/>
          <w:sz w:val="24"/>
          <w:szCs w:val="24"/>
        </w:rPr>
        <w:t>).</w:t>
      </w:r>
    </w:p>
    <w:p w14:paraId="1CB541B1" w14:textId="533FA7CC" w:rsidR="005667CA" w:rsidRPr="00390B58" w:rsidRDefault="005667CA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90B58">
        <w:rPr>
          <w:rFonts w:ascii="Times New Roman" w:hAnsi="Times New Roman"/>
          <w:bCs/>
          <w:sz w:val="24"/>
          <w:szCs w:val="24"/>
        </w:rPr>
        <w:t xml:space="preserve">Dramaturgia drugiej połowy XX wieku. Dramaturgia Tadeusza Różewicza. Groteska w dramatach Sławomira Mrożka. Dramaty radiowe (Zbigniew Herbert, Ireneusz Iredyński). </w:t>
      </w:r>
      <w:r w:rsidR="00663FFC" w:rsidRPr="00390B58">
        <w:rPr>
          <w:rFonts w:ascii="Times New Roman" w:hAnsi="Times New Roman"/>
          <w:bCs/>
          <w:sz w:val="24"/>
          <w:szCs w:val="24"/>
        </w:rPr>
        <w:t>Janusza Głowackiego dialog z tradycją.</w:t>
      </w:r>
    </w:p>
    <w:p w14:paraId="4C152AE1" w14:textId="2F922135" w:rsidR="00FB7665" w:rsidRPr="00390B58" w:rsidRDefault="00FB7665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90B58">
        <w:rPr>
          <w:rFonts w:ascii="Times New Roman" w:hAnsi="Times New Roman"/>
          <w:bCs/>
          <w:sz w:val="24"/>
          <w:szCs w:val="24"/>
        </w:rPr>
        <w:t xml:space="preserve">Ośrodki i instytucje literatury emigracyjnej. Instytut Literacki i „Kultura”. Środowisko „Wiadomości”. </w:t>
      </w:r>
      <w:r w:rsidR="00384B15" w:rsidRPr="00390B58">
        <w:rPr>
          <w:rFonts w:ascii="Times New Roman" w:hAnsi="Times New Roman"/>
          <w:bCs/>
          <w:sz w:val="24"/>
          <w:szCs w:val="24"/>
        </w:rPr>
        <w:t>„Kontynenty”.</w:t>
      </w:r>
    </w:p>
    <w:p w14:paraId="38D6E8F6" w14:textId="77777777" w:rsidR="004E05A8" w:rsidRPr="00390B58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90B58">
        <w:rPr>
          <w:rFonts w:ascii="Times New Roman" w:hAnsi="Times New Roman"/>
          <w:bCs/>
          <w:sz w:val="24"/>
          <w:szCs w:val="24"/>
        </w:rPr>
        <w:t>Poetyka postmodernizmu w liryce polskiej przełomu XX i XXI wieku. Późna poezja Tadeusza Różewicza. Powtórzenia i inwarianty poetyckie Eugeniusza Tkaczyszyna-Dy</w:t>
      </w:r>
      <w:r w:rsidR="009E7EB3" w:rsidRPr="00390B58">
        <w:rPr>
          <w:rFonts w:ascii="Times New Roman" w:hAnsi="Times New Roman"/>
          <w:bCs/>
          <w:sz w:val="24"/>
          <w:szCs w:val="24"/>
        </w:rPr>
        <w:t>c</w:t>
      </w:r>
      <w:r w:rsidRPr="00390B58">
        <w:rPr>
          <w:rFonts w:ascii="Times New Roman" w:hAnsi="Times New Roman"/>
          <w:bCs/>
          <w:sz w:val="24"/>
          <w:szCs w:val="24"/>
        </w:rPr>
        <w:t>kiego. Liryka Marcina Świetlickiego</w:t>
      </w:r>
      <w:r w:rsidR="006A0848" w:rsidRPr="00390B58">
        <w:rPr>
          <w:rFonts w:ascii="Times New Roman" w:hAnsi="Times New Roman"/>
          <w:bCs/>
          <w:sz w:val="24"/>
          <w:szCs w:val="24"/>
        </w:rPr>
        <w:t>, Miłosza Biedrzyckiego i Andrzeja Sosnowskiego</w:t>
      </w:r>
      <w:r w:rsidRPr="00390B58">
        <w:rPr>
          <w:rFonts w:ascii="Times New Roman" w:hAnsi="Times New Roman"/>
          <w:bCs/>
          <w:sz w:val="24"/>
          <w:szCs w:val="24"/>
        </w:rPr>
        <w:t>.</w:t>
      </w:r>
    </w:p>
    <w:p w14:paraId="27B40354" w14:textId="77777777" w:rsidR="009E7EB3" w:rsidRPr="00390B58" w:rsidRDefault="006A084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Nurt</w:t>
      </w:r>
      <w:r w:rsidR="004E05A8" w:rsidRPr="00390B58">
        <w:rPr>
          <w:rFonts w:ascii="Times New Roman" w:hAnsi="Times New Roman"/>
          <w:sz w:val="24"/>
          <w:szCs w:val="24"/>
        </w:rPr>
        <w:t xml:space="preserve"> </w:t>
      </w:r>
      <w:r w:rsidR="006262C7" w:rsidRPr="00390B58">
        <w:rPr>
          <w:rFonts w:ascii="Times New Roman" w:hAnsi="Times New Roman"/>
          <w:sz w:val="24"/>
          <w:szCs w:val="24"/>
        </w:rPr>
        <w:t>chłopski we współczesnej</w:t>
      </w:r>
      <w:r w:rsidR="004E05A8" w:rsidRPr="00390B58">
        <w:rPr>
          <w:rFonts w:ascii="Times New Roman" w:hAnsi="Times New Roman"/>
          <w:sz w:val="24"/>
          <w:szCs w:val="24"/>
        </w:rPr>
        <w:t xml:space="preserve"> proz</w:t>
      </w:r>
      <w:r w:rsidR="006262C7" w:rsidRPr="00390B58">
        <w:rPr>
          <w:rFonts w:ascii="Times New Roman" w:hAnsi="Times New Roman"/>
          <w:sz w:val="24"/>
          <w:szCs w:val="24"/>
        </w:rPr>
        <w:t>ie</w:t>
      </w:r>
      <w:r w:rsidR="004E05A8" w:rsidRPr="00390B58">
        <w:rPr>
          <w:rFonts w:ascii="Times New Roman" w:hAnsi="Times New Roman"/>
          <w:sz w:val="24"/>
          <w:szCs w:val="24"/>
        </w:rPr>
        <w:t xml:space="preserve"> polskiej. Wiesław Myśliwski (</w:t>
      </w:r>
      <w:r w:rsidR="004E05A8" w:rsidRPr="00390B58">
        <w:rPr>
          <w:rFonts w:ascii="Times New Roman" w:hAnsi="Times New Roman"/>
          <w:i/>
          <w:sz w:val="24"/>
          <w:szCs w:val="24"/>
        </w:rPr>
        <w:t>Nagi sad</w:t>
      </w:r>
      <w:r w:rsidR="004E05A8" w:rsidRPr="00390B58">
        <w:rPr>
          <w:rFonts w:ascii="Times New Roman" w:hAnsi="Times New Roman"/>
          <w:sz w:val="24"/>
          <w:szCs w:val="24"/>
        </w:rPr>
        <w:t xml:space="preserve">, </w:t>
      </w:r>
      <w:r w:rsidR="006262C7" w:rsidRPr="00390B58">
        <w:rPr>
          <w:rFonts w:ascii="Times New Roman" w:hAnsi="Times New Roman"/>
          <w:i/>
          <w:sz w:val="24"/>
          <w:szCs w:val="24"/>
        </w:rPr>
        <w:t>Pałac</w:t>
      </w:r>
      <w:r w:rsidR="006262C7" w:rsidRPr="00390B58">
        <w:rPr>
          <w:rFonts w:ascii="Times New Roman" w:hAnsi="Times New Roman"/>
          <w:sz w:val="24"/>
          <w:szCs w:val="24"/>
        </w:rPr>
        <w:t xml:space="preserve">, </w:t>
      </w:r>
      <w:r w:rsidR="004E05A8" w:rsidRPr="00390B58">
        <w:rPr>
          <w:rFonts w:ascii="Times New Roman" w:hAnsi="Times New Roman"/>
          <w:i/>
          <w:sz w:val="24"/>
          <w:szCs w:val="24"/>
        </w:rPr>
        <w:t>Kamień na kamieniu</w:t>
      </w:r>
      <w:r w:rsidR="004E05A8" w:rsidRPr="00390B58">
        <w:rPr>
          <w:rFonts w:ascii="Times New Roman" w:hAnsi="Times New Roman"/>
          <w:sz w:val="24"/>
          <w:szCs w:val="24"/>
        </w:rPr>
        <w:t>), Edward Redliński (</w:t>
      </w:r>
      <w:r w:rsidR="004E05A8" w:rsidRPr="00390B58">
        <w:rPr>
          <w:rFonts w:ascii="Times New Roman" w:hAnsi="Times New Roman"/>
          <w:i/>
          <w:sz w:val="24"/>
          <w:szCs w:val="24"/>
        </w:rPr>
        <w:t>Konopielka</w:t>
      </w:r>
      <w:r w:rsidR="004E05A8" w:rsidRPr="00390B58">
        <w:rPr>
          <w:rFonts w:ascii="Times New Roman" w:hAnsi="Times New Roman"/>
          <w:sz w:val="24"/>
          <w:szCs w:val="24"/>
        </w:rPr>
        <w:t xml:space="preserve">, </w:t>
      </w:r>
      <w:r w:rsidR="004E05A8" w:rsidRPr="00390B58">
        <w:rPr>
          <w:rFonts w:ascii="Times New Roman" w:hAnsi="Times New Roman"/>
          <w:i/>
          <w:sz w:val="24"/>
          <w:szCs w:val="24"/>
        </w:rPr>
        <w:t>Awans</w:t>
      </w:r>
      <w:r w:rsidR="004E05A8" w:rsidRPr="00390B58">
        <w:rPr>
          <w:rFonts w:ascii="Times New Roman" w:hAnsi="Times New Roman"/>
          <w:sz w:val="24"/>
          <w:szCs w:val="24"/>
        </w:rPr>
        <w:t>)</w:t>
      </w:r>
      <w:r w:rsidR="006262C7" w:rsidRPr="00390B58">
        <w:rPr>
          <w:rFonts w:ascii="Times New Roman" w:hAnsi="Times New Roman"/>
          <w:sz w:val="24"/>
          <w:szCs w:val="24"/>
        </w:rPr>
        <w:t xml:space="preserve"> i inni</w:t>
      </w:r>
      <w:r w:rsidR="004E05A8" w:rsidRPr="00390B58">
        <w:rPr>
          <w:rFonts w:ascii="Times New Roman" w:hAnsi="Times New Roman"/>
          <w:sz w:val="24"/>
          <w:szCs w:val="24"/>
        </w:rPr>
        <w:t xml:space="preserve">. </w:t>
      </w:r>
    </w:p>
    <w:p w14:paraId="3FF07ED0" w14:textId="77777777" w:rsidR="004E05A8" w:rsidRPr="00390B58" w:rsidRDefault="009E7EB3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E</w:t>
      </w:r>
      <w:r w:rsidR="004E05A8" w:rsidRPr="00390B58">
        <w:rPr>
          <w:rFonts w:ascii="Times New Roman" w:hAnsi="Times New Roman"/>
          <w:sz w:val="24"/>
          <w:szCs w:val="24"/>
        </w:rPr>
        <w:t xml:space="preserve">pika postmodernistyczna: </w:t>
      </w:r>
      <w:r w:rsidR="004E05A8" w:rsidRPr="00390B58">
        <w:rPr>
          <w:rFonts w:ascii="Times New Roman" w:hAnsi="Times New Roman"/>
          <w:bCs/>
          <w:sz w:val="24"/>
          <w:szCs w:val="24"/>
        </w:rPr>
        <w:t>Manuela Gretkowska (</w:t>
      </w:r>
      <w:r w:rsidR="004E05A8" w:rsidRPr="00390B58">
        <w:rPr>
          <w:rFonts w:ascii="Times New Roman" w:hAnsi="Times New Roman"/>
          <w:bCs/>
          <w:i/>
          <w:sz w:val="24"/>
          <w:szCs w:val="24"/>
        </w:rPr>
        <w:t>Kabaret metafizyczny</w:t>
      </w:r>
      <w:r w:rsidR="004E05A8" w:rsidRPr="00390B58">
        <w:rPr>
          <w:rFonts w:ascii="Times New Roman" w:hAnsi="Times New Roman"/>
          <w:bCs/>
          <w:sz w:val="24"/>
          <w:szCs w:val="24"/>
        </w:rPr>
        <w:t xml:space="preserve">, </w:t>
      </w:r>
      <w:r w:rsidR="004E05A8" w:rsidRPr="00390B58">
        <w:rPr>
          <w:rFonts w:ascii="Times New Roman" w:hAnsi="Times New Roman"/>
          <w:bCs/>
          <w:i/>
          <w:sz w:val="24"/>
          <w:szCs w:val="24"/>
        </w:rPr>
        <w:t>Polka</w:t>
      </w:r>
      <w:r w:rsidR="004E05A8" w:rsidRPr="00390B58">
        <w:rPr>
          <w:rFonts w:ascii="Times New Roman" w:hAnsi="Times New Roman"/>
          <w:bCs/>
          <w:sz w:val="24"/>
          <w:szCs w:val="24"/>
        </w:rPr>
        <w:t>), Olga Tokarczuk (</w:t>
      </w:r>
      <w:r w:rsidR="004E05A8" w:rsidRPr="00390B58">
        <w:rPr>
          <w:rFonts w:ascii="Times New Roman" w:hAnsi="Times New Roman"/>
          <w:bCs/>
          <w:i/>
          <w:sz w:val="24"/>
          <w:szCs w:val="24"/>
        </w:rPr>
        <w:t>Prawiek i inne czasy</w:t>
      </w:r>
      <w:r w:rsidR="004E05A8" w:rsidRPr="00390B58">
        <w:rPr>
          <w:rFonts w:ascii="Times New Roman" w:hAnsi="Times New Roman"/>
          <w:bCs/>
          <w:sz w:val="24"/>
          <w:szCs w:val="24"/>
        </w:rPr>
        <w:t xml:space="preserve">, </w:t>
      </w:r>
      <w:r w:rsidR="004E05A8" w:rsidRPr="00390B58">
        <w:rPr>
          <w:rFonts w:ascii="Times New Roman" w:hAnsi="Times New Roman"/>
          <w:bCs/>
          <w:i/>
          <w:sz w:val="24"/>
          <w:szCs w:val="24"/>
        </w:rPr>
        <w:t>Dom dzienny, dom nocny</w:t>
      </w:r>
      <w:r w:rsidR="004E05A8" w:rsidRPr="00390B58">
        <w:rPr>
          <w:rFonts w:ascii="Times New Roman" w:hAnsi="Times New Roman"/>
          <w:bCs/>
          <w:sz w:val="24"/>
          <w:szCs w:val="24"/>
        </w:rPr>
        <w:t xml:space="preserve">, </w:t>
      </w:r>
      <w:r w:rsidR="004E05A8" w:rsidRPr="00390B58">
        <w:rPr>
          <w:rFonts w:ascii="Times New Roman" w:hAnsi="Times New Roman"/>
          <w:bCs/>
          <w:i/>
          <w:sz w:val="24"/>
          <w:szCs w:val="24"/>
        </w:rPr>
        <w:t>Księgi Jakubowe</w:t>
      </w:r>
      <w:r w:rsidR="004E05A8" w:rsidRPr="00390B58">
        <w:rPr>
          <w:rFonts w:ascii="Times New Roman" w:hAnsi="Times New Roman"/>
          <w:bCs/>
          <w:sz w:val="24"/>
          <w:szCs w:val="24"/>
        </w:rPr>
        <w:t xml:space="preserve">). </w:t>
      </w:r>
    </w:p>
    <w:p w14:paraId="083DCE7A" w14:textId="77777777" w:rsidR="004E05A8" w:rsidRPr="00390B58" w:rsidRDefault="004E05A8" w:rsidP="00B345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 xml:space="preserve">Literatura a rzeczywistość. Koncepcje </w:t>
      </w:r>
      <w:r w:rsidRPr="00390B58">
        <w:rPr>
          <w:rFonts w:ascii="Times New Roman" w:hAnsi="Times New Roman"/>
          <w:i/>
          <w:sz w:val="24"/>
          <w:szCs w:val="24"/>
        </w:rPr>
        <w:t>mimesis</w:t>
      </w:r>
      <w:r w:rsidRPr="00390B58">
        <w:rPr>
          <w:rFonts w:ascii="Times New Roman" w:hAnsi="Times New Roman"/>
          <w:sz w:val="24"/>
          <w:szCs w:val="24"/>
        </w:rPr>
        <w:t xml:space="preserve"> w badaniach literackich: od Platona do Auerbacha i Nycza.</w:t>
      </w:r>
    </w:p>
    <w:p w14:paraId="4626DACA" w14:textId="77777777" w:rsidR="004E05A8" w:rsidRPr="00390B58" w:rsidRDefault="004E05A8" w:rsidP="00B34578">
      <w:pPr>
        <w:numPr>
          <w:ilvl w:val="0"/>
          <w:numId w:val="2"/>
        </w:numPr>
        <w:tabs>
          <w:tab w:val="clear" w:pos="360"/>
          <w:tab w:val="num" w:pos="-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Płeć i tożsamość we współczesnej refleksji teoretycznoliterackiej: feminizm, gender i queer. Cele krytyki feministycznej. Feministyczny rewizjonizm. Badania genderowe i queerowe.</w:t>
      </w:r>
    </w:p>
    <w:p w14:paraId="5BA44143" w14:textId="77777777" w:rsidR="004E05A8" w:rsidRPr="00390B58" w:rsidRDefault="004E05A8" w:rsidP="00B34578">
      <w:pPr>
        <w:numPr>
          <w:ilvl w:val="0"/>
          <w:numId w:val="2"/>
        </w:numPr>
        <w:tabs>
          <w:tab w:val="clear" w:pos="360"/>
          <w:tab w:val="num" w:pos="-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Postkolonializm w badaniach literackich. Dyskurs jako konstruowanie rzeczywistości. Dyskurs kolonialny a kwestie rasowe. Czy można mówić o dyskursie kolonialnym w literaturze i kulturze państw Europy Środkowo-Wschodniej (Polska, Rosja)?</w:t>
      </w:r>
    </w:p>
    <w:p w14:paraId="5F539E86" w14:textId="3C4DCF43" w:rsidR="004E05A8" w:rsidRPr="00390B58" w:rsidRDefault="006A0848" w:rsidP="00B34578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390B5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Psychoanaliza</w:t>
      </w:r>
      <w:r w:rsidR="009869DC" w:rsidRPr="00390B5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w badaniach literackich - od Freuda do Lacana.</w:t>
      </w:r>
    </w:p>
    <w:p w14:paraId="29140D4C" w14:textId="77777777" w:rsidR="00B34578" w:rsidRDefault="00B34578" w:rsidP="00B3457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F55BA4" w14:textId="7737DF1B" w:rsidR="004E05A8" w:rsidRDefault="0068028C" w:rsidP="00B34578">
      <w:pPr>
        <w:spacing w:after="0"/>
        <w:rPr>
          <w:rFonts w:ascii="Times New Roman" w:hAnsi="Times New Roman"/>
          <w:b/>
          <w:sz w:val="24"/>
          <w:szCs w:val="24"/>
        </w:rPr>
      </w:pPr>
      <w:r w:rsidRPr="00390B58">
        <w:rPr>
          <w:rFonts w:ascii="Times New Roman" w:hAnsi="Times New Roman"/>
          <w:b/>
          <w:sz w:val="24"/>
          <w:szCs w:val="24"/>
        </w:rPr>
        <w:t xml:space="preserve">Językoznawstwo </w:t>
      </w:r>
      <w:r w:rsidR="004E05A8" w:rsidRPr="00390B58">
        <w:rPr>
          <w:rFonts w:ascii="Times New Roman" w:hAnsi="Times New Roman"/>
          <w:b/>
          <w:sz w:val="24"/>
          <w:szCs w:val="24"/>
        </w:rPr>
        <w:t xml:space="preserve"> </w:t>
      </w:r>
    </w:p>
    <w:p w14:paraId="077A4DE3" w14:textId="77777777" w:rsidR="00B34578" w:rsidRPr="00390B58" w:rsidRDefault="00B34578" w:rsidP="00B3457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0C957B4" w14:textId="77777777" w:rsidR="004E05A8" w:rsidRPr="00390B58" w:rsidRDefault="004E05A8" w:rsidP="00B34578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Funkcje języka i wypowiedzi: ekspresywna, impresywna, metajęzykowa, fatyczna, symboliczna, prezentatywna – krótka charakterystyka.</w:t>
      </w:r>
    </w:p>
    <w:p w14:paraId="573665E9" w14:textId="77777777" w:rsidR="004E05A8" w:rsidRPr="00390B58" w:rsidRDefault="004E05A8" w:rsidP="00B34578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Perswazja i manipulacja w języku.</w:t>
      </w:r>
    </w:p>
    <w:p w14:paraId="5CF08D76" w14:textId="77777777" w:rsidR="004E05A8" w:rsidRPr="00390B58" w:rsidRDefault="004E05A8" w:rsidP="00B34578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Język w działaniu. Struktura aktu mowy i jego typy według Johna Austina i Johna Searle'a.</w:t>
      </w:r>
    </w:p>
    <w:p w14:paraId="136FBE56" w14:textId="77777777" w:rsidR="004E05A8" w:rsidRPr="00390B58" w:rsidRDefault="004E05A8" w:rsidP="00B34578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Przegląd i charakterystyka dyscyplin językoznawczych.</w:t>
      </w:r>
    </w:p>
    <w:p w14:paraId="40E5B43F" w14:textId="77777777" w:rsidR="004E05A8" w:rsidRPr="00390B58" w:rsidRDefault="004E05A8" w:rsidP="00B34578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Kulturowe uwarunkowania aktów mowy. Relatywizm  kulturowy.</w:t>
      </w:r>
    </w:p>
    <w:p w14:paraId="4740A7E8" w14:textId="77777777" w:rsidR="004E05A8" w:rsidRPr="00390B58" w:rsidRDefault="004E05A8" w:rsidP="00B34578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 xml:space="preserve">Pojęcie socjolektu i jego odmiany. Socjolingwistyczna charakterystyka współczesnej polszczyzny. </w:t>
      </w:r>
    </w:p>
    <w:p w14:paraId="16765303" w14:textId="77777777" w:rsidR="004E05A8" w:rsidRPr="00390B58" w:rsidRDefault="004E05A8" w:rsidP="00B34578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Style funkcjonalne współczesnej polszczyzny.</w:t>
      </w:r>
    </w:p>
    <w:p w14:paraId="545B6ADD" w14:textId="77777777" w:rsidR="004E05A8" w:rsidRPr="00390B58" w:rsidRDefault="004E05A8" w:rsidP="00B34578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 xml:space="preserve">Gatunki językowe w świetle autorskich poglądów: Michaiła Bachtina, Ludwiga Wittgensteina, Anny Wierzbickiej. </w:t>
      </w:r>
    </w:p>
    <w:p w14:paraId="521F72C8" w14:textId="77777777" w:rsidR="004E05A8" w:rsidRPr="00390B58" w:rsidRDefault="004E05A8" w:rsidP="00B34578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lastRenderedPageBreak/>
        <w:t>Źródła do badań dziejów języka polskiego. Historyczne słowniki języka polskiego.</w:t>
      </w:r>
    </w:p>
    <w:p w14:paraId="1B833BF9" w14:textId="77777777" w:rsidR="004E05A8" w:rsidRPr="00390B58" w:rsidRDefault="004E05A8" w:rsidP="00B34578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Działalność kulturalnojęzykowa w dziejach polszczyzny – teorie kultury języka, poradniki językowe, towarzystwa miłośników polszczyzny.</w:t>
      </w:r>
    </w:p>
    <w:p w14:paraId="14A086B8" w14:textId="67E292E2" w:rsidR="004E05A8" w:rsidRPr="00390B58" w:rsidRDefault="004E05A8" w:rsidP="00B34578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Język polski poezji i prozy różnych okresów literackich (na wybranych przykładach).</w:t>
      </w:r>
      <w:r w:rsidRPr="00390B58">
        <w:rPr>
          <w:rFonts w:ascii="Times New Roman" w:hAnsi="Times New Roman"/>
          <w:b/>
          <w:sz w:val="24"/>
          <w:szCs w:val="24"/>
        </w:rPr>
        <w:tab/>
      </w:r>
    </w:p>
    <w:p w14:paraId="6D5CEA5A" w14:textId="77777777" w:rsidR="004E05A8" w:rsidRPr="00390B58" w:rsidRDefault="004E05A8" w:rsidP="00B34578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Nazewnictwo własne a historia narodu (imiona, nazwiska, przydomki, przezwiska indywidualne i zbiorowe, pseudonimy, nazwy heraldyczne, dynastyczne, etnonimy, nazwy narodowości, nazwy mieszkańców.</w:t>
      </w:r>
    </w:p>
    <w:p w14:paraId="209770AA" w14:textId="77777777" w:rsidR="004E05A8" w:rsidRPr="00390B58" w:rsidRDefault="004E05A8" w:rsidP="00B34578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 xml:space="preserve">Klasyfikacja nazwisk w ujęciu różnych autorów (np. Witolda Taszyckiego, Stanisława Rosponda, Henryka Borka, Józefa Bubaka, Zofii Kalety). Typy strukturalne i semantyczne polskich nazwisk. </w:t>
      </w:r>
    </w:p>
    <w:p w14:paraId="6CC9E7DF" w14:textId="77777777" w:rsidR="004E05A8" w:rsidRPr="00390B58" w:rsidRDefault="004E05A8" w:rsidP="00B34578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Wybrane sylwetki polskich językoznawców.</w:t>
      </w:r>
    </w:p>
    <w:p w14:paraId="18D1461B" w14:textId="77777777" w:rsidR="004E05A8" w:rsidRPr="00390B58" w:rsidRDefault="004E05A8" w:rsidP="00B34578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Charakterystyka socjolingwistyczna współczesnych gwar polskich.</w:t>
      </w:r>
    </w:p>
    <w:p w14:paraId="2F7B4975" w14:textId="77777777" w:rsidR="004E05A8" w:rsidRPr="00390B58" w:rsidRDefault="004E05A8" w:rsidP="00B34578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 xml:space="preserve">Związki lingwistyki z innymi dyscyplinami naukowymi. </w:t>
      </w:r>
    </w:p>
    <w:p w14:paraId="27BDEA91" w14:textId="77777777" w:rsidR="004E05A8" w:rsidRPr="00390B58" w:rsidRDefault="004E05A8" w:rsidP="00B34578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 xml:space="preserve">Różne nurty badawcze w pracach polskich językoznawców (m.in. szkoła kazańsko-praska, szkoła lubelska). </w:t>
      </w:r>
    </w:p>
    <w:p w14:paraId="3BDC8715" w14:textId="77777777" w:rsidR="004E05A8" w:rsidRPr="00390B58" w:rsidRDefault="004E05A8" w:rsidP="00B34578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Współczesne kierunki i nurty badań językoznawczych, m.in.: pragmalingwistyka, teoria aktów mowy, socjolingwistyka, psycholingwistyka, językoznawstwo kulturowe i etnolingwistyka, tekstologia, genologia lingwistyczna.</w:t>
      </w:r>
    </w:p>
    <w:p w14:paraId="1636F245" w14:textId="77777777" w:rsidR="004E05A8" w:rsidRPr="00390B58" w:rsidRDefault="004E05A8" w:rsidP="00B34578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 xml:space="preserve">Semantyka językoznawcza. Wybrane koncepcje i teorie opisu semantycznego języka. </w:t>
      </w:r>
    </w:p>
    <w:p w14:paraId="54F8F909" w14:textId="77777777" w:rsidR="004E05A8" w:rsidRPr="00390B58" w:rsidRDefault="004E05A8" w:rsidP="00B34578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Pochodzenie współczesnych języków oraz ich zróżnicowanie. Klasyfikacja typologiczna języków. Kontakty między językami. Bilingwizm. Zagadnienie interferencji językowej. Języki mieszane. Pidgin.</w:t>
      </w:r>
    </w:p>
    <w:p w14:paraId="10150666" w14:textId="77777777" w:rsidR="00390B58" w:rsidRPr="00390B58" w:rsidRDefault="00390B58" w:rsidP="00B34578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6DE4B848" w14:textId="316AF64C" w:rsidR="0068028C" w:rsidRDefault="004E05A8" w:rsidP="00B34578">
      <w:pPr>
        <w:pStyle w:val="Akapitzlist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 xml:space="preserve"> </w:t>
      </w:r>
      <w:r w:rsidR="0068028C" w:rsidRPr="00390B58">
        <w:rPr>
          <w:rFonts w:ascii="Times New Roman" w:hAnsi="Times New Roman"/>
          <w:b/>
          <w:sz w:val="24"/>
          <w:szCs w:val="24"/>
        </w:rPr>
        <w:t>Zagadnienia specjalnościowe: translatoryka i kreacja tekstu</w:t>
      </w:r>
    </w:p>
    <w:p w14:paraId="014ED303" w14:textId="77777777" w:rsidR="00B34578" w:rsidRPr="00390B58" w:rsidRDefault="00B34578" w:rsidP="00B34578">
      <w:pPr>
        <w:pStyle w:val="Akapitzlist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7A7E9864" w14:textId="77777777" w:rsidR="0068028C" w:rsidRPr="00390B58" w:rsidRDefault="0068028C" w:rsidP="00B34578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Przekład ustny. Klasyfikacja typów przekładu ustnego zaproponowana przez Franza Pöchhackera.</w:t>
      </w:r>
    </w:p>
    <w:p w14:paraId="65A92671" w14:textId="77777777" w:rsidR="0068028C" w:rsidRPr="00390B58" w:rsidRDefault="0068028C" w:rsidP="00B34578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 xml:space="preserve">Typologia przekładu ustnego na podstawie sposobu tłumaczenia (tłumaczenie symultaniczne, konsekutywne, </w:t>
      </w:r>
      <w:r w:rsidRPr="00390B58">
        <w:rPr>
          <w:rFonts w:ascii="Times New Roman" w:hAnsi="Times New Roman"/>
          <w:i/>
          <w:sz w:val="24"/>
          <w:szCs w:val="24"/>
        </w:rPr>
        <w:t>a vista</w:t>
      </w:r>
      <w:r w:rsidRPr="00390B58">
        <w:rPr>
          <w:rFonts w:ascii="Times New Roman" w:hAnsi="Times New Roman"/>
          <w:sz w:val="24"/>
          <w:szCs w:val="24"/>
        </w:rPr>
        <w:t xml:space="preserve">). </w:t>
      </w:r>
    </w:p>
    <w:p w14:paraId="2534AF78" w14:textId="77777777" w:rsidR="0068028C" w:rsidRPr="00390B58" w:rsidRDefault="0068028C" w:rsidP="00B34578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 xml:space="preserve">Kwestia tłumaczenia konferencyjnego w Polsce. Różnica i podobieństwo ustnego przekładu konferencyjnego i środowiskowego. </w:t>
      </w:r>
    </w:p>
    <w:p w14:paraId="713C5014" w14:textId="77777777" w:rsidR="0068028C" w:rsidRPr="00390B58" w:rsidRDefault="0068028C" w:rsidP="00B34578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Przekład środowiskowy. Klasyfikacja przekładu srodowiskowego. Normy w przekładzie środowiskowym.</w:t>
      </w:r>
    </w:p>
    <w:p w14:paraId="31D90607" w14:textId="77777777" w:rsidR="0068028C" w:rsidRPr="00390B58" w:rsidRDefault="0068028C" w:rsidP="00B34578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 xml:space="preserve">Role tłumacza zaproponowane przez Rody Roberts, Fritza G. Hensey’a, Sandry Beatriz Hale. </w:t>
      </w:r>
    </w:p>
    <w:p w14:paraId="6DC910A2" w14:textId="77777777" w:rsidR="0068028C" w:rsidRPr="00390B58" w:rsidRDefault="0068028C" w:rsidP="00B34578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Omów różnice między tłumaczeniem a transkreacją z punktu widzenia wykorzystywanych strategii (zapożyczenie, kalka, tłumaczenie dosłowne a transpozycja, modulacja, ekwiwalencja, adaptacja)</w:t>
      </w:r>
    </w:p>
    <w:p w14:paraId="55900BBD" w14:textId="77777777" w:rsidR="0068028C" w:rsidRPr="00390B58" w:rsidRDefault="0068028C" w:rsidP="00B34578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Omów zasady tłumaczenia neologizmów, słów autorskich, dialektów i nazw własnych oraz trudności z tym związane</w:t>
      </w:r>
    </w:p>
    <w:p w14:paraId="121F394A" w14:textId="77777777" w:rsidR="0068028C" w:rsidRPr="00390B58" w:rsidRDefault="0068028C" w:rsidP="00B34578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Omów trudności i podstawowe strategie tłumaczenia humoru (pominięcie, dodawane, kompensacja)</w:t>
      </w:r>
    </w:p>
    <w:p w14:paraId="52E58760" w14:textId="77777777" w:rsidR="0068028C" w:rsidRPr="00390B58" w:rsidRDefault="0068028C" w:rsidP="00B34578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lastRenderedPageBreak/>
        <w:t>Dubbing i napisy: wymogi, różnice, trudności</w:t>
      </w:r>
    </w:p>
    <w:p w14:paraId="4A875041" w14:textId="77777777" w:rsidR="0068028C" w:rsidRPr="00390B58" w:rsidRDefault="0068028C" w:rsidP="00B34578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Tłumaczenie poetyckie i trudności z nim związane.  Pojęcia imitacji, adaptacji i  emulacji</w:t>
      </w:r>
    </w:p>
    <w:p w14:paraId="441EBA69" w14:textId="77777777" w:rsidR="0068028C" w:rsidRPr="00390B58" w:rsidRDefault="0068028C" w:rsidP="00B34578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69E21E17" w14:textId="77777777" w:rsidR="0068028C" w:rsidRDefault="0068028C" w:rsidP="00B34578">
      <w:pPr>
        <w:pStyle w:val="Akapitzlist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390B58">
        <w:rPr>
          <w:rFonts w:ascii="Times New Roman" w:hAnsi="Times New Roman"/>
          <w:b/>
          <w:sz w:val="24"/>
          <w:szCs w:val="24"/>
        </w:rPr>
        <w:t xml:space="preserve">Zagadnienia specjalnościowe: język polski z logopedią </w:t>
      </w:r>
    </w:p>
    <w:p w14:paraId="4801C89F" w14:textId="77777777" w:rsidR="00B34578" w:rsidRPr="00390B58" w:rsidRDefault="00B34578" w:rsidP="00B34578">
      <w:pPr>
        <w:pStyle w:val="Akapitzlist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54A0642A" w14:textId="61A77872" w:rsidR="0068028C" w:rsidRPr="00E20B62" w:rsidRDefault="0068028C" w:rsidP="00B34578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20B62">
        <w:rPr>
          <w:rFonts w:ascii="Times New Roman" w:hAnsi="Times New Roman"/>
          <w:sz w:val="24"/>
          <w:szCs w:val="24"/>
        </w:rPr>
        <w:t>Kompetencja językowa i sprawności językowe, kompetencja komunikacyjna i</w:t>
      </w:r>
      <w:r w:rsidR="00E20B62" w:rsidRPr="00E20B62">
        <w:rPr>
          <w:rFonts w:ascii="Times New Roman" w:hAnsi="Times New Roman"/>
          <w:sz w:val="24"/>
          <w:szCs w:val="24"/>
        </w:rPr>
        <w:t xml:space="preserve"> </w:t>
      </w:r>
      <w:r w:rsidRPr="00E20B62">
        <w:rPr>
          <w:rFonts w:ascii="Times New Roman" w:hAnsi="Times New Roman"/>
          <w:sz w:val="24"/>
          <w:szCs w:val="24"/>
        </w:rPr>
        <w:t>sprawności komunikacyjne a zaburzenia mowy.</w:t>
      </w:r>
    </w:p>
    <w:p w14:paraId="282F88C2" w14:textId="1D1A77B3" w:rsidR="0068028C" w:rsidRPr="00390B58" w:rsidRDefault="0068028C" w:rsidP="00B34578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Neurobiologiczne uwarunkowania zachowań językowych i zaburzeń mowy.</w:t>
      </w:r>
    </w:p>
    <w:p w14:paraId="429E4ABA" w14:textId="57ED4624" w:rsidR="0068028C" w:rsidRPr="00390B58" w:rsidRDefault="0068028C" w:rsidP="00B34578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Procedury postępowania logopedycznego w afazji.</w:t>
      </w:r>
    </w:p>
    <w:p w14:paraId="4DA589A7" w14:textId="23A7D026" w:rsidR="0068028C" w:rsidRPr="00390B58" w:rsidRDefault="0068028C" w:rsidP="00B34578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Procedury postępowania logopedycznego w autyzmie.</w:t>
      </w:r>
    </w:p>
    <w:p w14:paraId="629E9B77" w14:textId="002C120D" w:rsidR="0068028C" w:rsidRPr="00390B58" w:rsidRDefault="0068028C" w:rsidP="00B34578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Procedury postępowania logopedycznego w zespole Aspergera.</w:t>
      </w:r>
    </w:p>
    <w:p w14:paraId="79BF0F3A" w14:textId="4DCC97AF" w:rsidR="0068028C" w:rsidRPr="00390B58" w:rsidRDefault="0068028C" w:rsidP="00B34578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Procedury postępowania logopedycznego w demencji.</w:t>
      </w:r>
    </w:p>
    <w:p w14:paraId="31B80C99" w14:textId="1265A853" w:rsidR="0068028C" w:rsidRPr="00390B58" w:rsidRDefault="0068028C" w:rsidP="00B34578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Procedury postępowania logopedycznego w schizofazji.</w:t>
      </w:r>
    </w:p>
    <w:p w14:paraId="7CC80C0A" w14:textId="17EB0101" w:rsidR="0068028C" w:rsidRPr="00390B58" w:rsidRDefault="0068028C" w:rsidP="00B34578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 xml:space="preserve">Klasyfikacje zaburzeń mowy. </w:t>
      </w:r>
    </w:p>
    <w:p w14:paraId="2182E042" w14:textId="73687A5E" w:rsidR="0068028C" w:rsidRPr="00390B58" w:rsidRDefault="0068028C" w:rsidP="00B34578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Diagnoza różnicowa zaburzeń mowy w: alalii, afazji, demencji , autyzmie, schizofazji.</w:t>
      </w:r>
    </w:p>
    <w:p w14:paraId="5ECA4D30" w14:textId="412EDBA3" w:rsidR="0068028C" w:rsidRPr="00390B58" w:rsidRDefault="0068028C" w:rsidP="00B34578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Programowanie języka (zasady, etapy w te</w:t>
      </w:r>
      <w:r w:rsidR="00E20B62">
        <w:rPr>
          <w:rFonts w:ascii="Times New Roman" w:hAnsi="Times New Roman"/>
          <w:sz w:val="24"/>
          <w:szCs w:val="24"/>
        </w:rPr>
        <w:t>rapii: alalii, afazji, demencji</w:t>
      </w:r>
      <w:r w:rsidRPr="00390B58">
        <w:rPr>
          <w:rFonts w:ascii="Times New Roman" w:hAnsi="Times New Roman"/>
          <w:sz w:val="24"/>
          <w:szCs w:val="24"/>
        </w:rPr>
        <w:t>, autyzmie, ZA,</w:t>
      </w:r>
      <w:r w:rsidR="00390B58" w:rsidRPr="00390B58">
        <w:rPr>
          <w:rFonts w:ascii="Times New Roman" w:hAnsi="Times New Roman"/>
          <w:sz w:val="24"/>
          <w:szCs w:val="24"/>
        </w:rPr>
        <w:t xml:space="preserve"> </w:t>
      </w:r>
      <w:r w:rsidRPr="00390B58">
        <w:rPr>
          <w:rFonts w:ascii="Times New Roman" w:hAnsi="Times New Roman"/>
          <w:sz w:val="24"/>
          <w:szCs w:val="24"/>
        </w:rPr>
        <w:t>schizofazji).</w:t>
      </w:r>
    </w:p>
    <w:p w14:paraId="12000687" w14:textId="4EEA28E4" w:rsidR="0068028C" w:rsidRPr="00390B58" w:rsidRDefault="0068028C" w:rsidP="00B34578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Określanie celów postępowania logopedycznego.</w:t>
      </w:r>
    </w:p>
    <w:p w14:paraId="26072596" w14:textId="0F2E43AB" w:rsidR="0068028C" w:rsidRPr="00390B58" w:rsidRDefault="0068028C" w:rsidP="00B34578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Strategie i metody postępowania logopedycznego.</w:t>
      </w:r>
    </w:p>
    <w:p w14:paraId="70FB2F11" w14:textId="630C6167" w:rsidR="0068028C" w:rsidRPr="00390B58" w:rsidRDefault="0068028C" w:rsidP="00B34578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90B58">
        <w:rPr>
          <w:rFonts w:ascii="Times New Roman" w:hAnsi="Times New Roman"/>
          <w:sz w:val="24"/>
          <w:szCs w:val="24"/>
        </w:rPr>
        <w:t>Postępowanie terapeutyczne - etapy i dobór środków w: alalii, afazji, demencji, autyzmie,</w:t>
      </w:r>
      <w:r w:rsidR="00390B58" w:rsidRPr="00390B58">
        <w:rPr>
          <w:rFonts w:ascii="Times New Roman" w:hAnsi="Times New Roman"/>
          <w:sz w:val="24"/>
          <w:szCs w:val="24"/>
        </w:rPr>
        <w:t xml:space="preserve"> </w:t>
      </w:r>
      <w:r w:rsidRPr="00390B58">
        <w:rPr>
          <w:rFonts w:ascii="Times New Roman" w:hAnsi="Times New Roman"/>
          <w:sz w:val="24"/>
          <w:szCs w:val="24"/>
        </w:rPr>
        <w:t>schizofazji.</w:t>
      </w:r>
    </w:p>
    <w:p w14:paraId="75C7A5BE" w14:textId="62AD374E" w:rsidR="0068028C" w:rsidRPr="00E20B62" w:rsidRDefault="0068028C" w:rsidP="00B34578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20B62">
        <w:rPr>
          <w:rFonts w:ascii="Times New Roman" w:hAnsi="Times New Roman"/>
          <w:sz w:val="24"/>
          <w:szCs w:val="24"/>
        </w:rPr>
        <w:t>Diagnozowanie czynności poznawczych w zaburzeniach mowy: słownictwo (kognitywna</w:t>
      </w:r>
      <w:r w:rsidR="00E20B62" w:rsidRPr="00E20B62">
        <w:rPr>
          <w:rFonts w:ascii="Times New Roman" w:hAnsi="Times New Roman"/>
          <w:sz w:val="24"/>
          <w:szCs w:val="24"/>
        </w:rPr>
        <w:t xml:space="preserve"> </w:t>
      </w:r>
      <w:r w:rsidRPr="00E20B62">
        <w:rPr>
          <w:rFonts w:ascii="Times New Roman" w:hAnsi="Times New Roman"/>
          <w:sz w:val="24"/>
          <w:szCs w:val="24"/>
        </w:rPr>
        <w:t>struktura wiedzy, badanie relacji między desygnatami); narracja.</w:t>
      </w:r>
    </w:p>
    <w:p w14:paraId="6E5DC9ED" w14:textId="73694511" w:rsidR="0068028C" w:rsidRPr="00E20B62" w:rsidRDefault="0068028C" w:rsidP="00B34578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20B62">
        <w:rPr>
          <w:rFonts w:ascii="Times New Roman" w:hAnsi="Times New Roman"/>
          <w:sz w:val="24"/>
          <w:szCs w:val="24"/>
        </w:rPr>
        <w:t>Diagnozowanie możliwości przekazu: motoryka; słuch fizyczny; słuch fonemowy</w:t>
      </w:r>
      <w:r w:rsidR="00E20B62" w:rsidRPr="00E20B62">
        <w:rPr>
          <w:rFonts w:ascii="Times New Roman" w:hAnsi="Times New Roman"/>
          <w:sz w:val="24"/>
          <w:szCs w:val="24"/>
        </w:rPr>
        <w:t xml:space="preserve"> </w:t>
      </w:r>
      <w:r w:rsidRPr="00E20B62">
        <w:rPr>
          <w:rFonts w:ascii="Times New Roman" w:hAnsi="Times New Roman"/>
          <w:sz w:val="24"/>
          <w:szCs w:val="24"/>
        </w:rPr>
        <w:t>i prozodyczny; wymowa (realizacja fonemów, koartykulacja, realizacja komponentów</w:t>
      </w:r>
      <w:r w:rsidR="00E20B62" w:rsidRPr="00E20B62">
        <w:rPr>
          <w:rFonts w:ascii="Times New Roman" w:hAnsi="Times New Roman"/>
          <w:sz w:val="24"/>
          <w:szCs w:val="24"/>
        </w:rPr>
        <w:t xml:space="preserve"> </w:t>
      </w:r>
      <w:r w:rsidRPr="00E20B62">
        <w:rPr>
          <w:rFonts w:ascii="Times New Roman" w:hAnsi="Times New Roman"/>
          <w:sz w:val="24"/>
          <w:szCs w:val="24"/>
        </w:rPr>
        <w:t>prozodycznych); dialog (realizacja komponentów wymiany); realizacja i struktura</w:t>
      </w:r>
      <w:r w:rsidR="00E20B62" w:rsidRPr="00E20B62">
        <w:rPr>
          <w:rFonts w:ascii="Times New Roman" w:hAnsi="Times New Roman"/>
          <w:sz w:val="24"/>
          <w:szCs w:val="24"/>
        </w:rPr>
        <w:t xml:space="preserve"> </w:t>
      </w:r>
      <w:r w:rsidRPr="00E20B62">
        <w:rPr>
          <w:rFonts w:ascii="Times New Roman" w:hAnsi="Times New Roman"/>
          <w:sz w:val="24"/>
          <w:szCs w:val="24"/>
        </w:rPr>
        <w:t>intencji (umiejętność informowania, intencja działania, intencja modalności, przekaz</w:t>
      </w:r>
      <w:r w:rsidR="00E20B62" w:rsidRPr="00E20B62">
        <w:rPr>
          <w:rFonts w:ascii="Times New Roman" w:hAnsi="Times New Roman"/>
          <w:sz w:val="24"/>
          <w:szCs w:val="24"/>
        </w:rPr>
        <w:t xml:space="preserve"> </w:t>
      </w:r>
      <w:r w:rsidRPr="00E20B62">
        <w:rPr>
          <w:rFonts w:ascii="Times New Roman" w:hAnsi="Times New Roman"/>
          <w:sz w:val="24"/>
          <w:szCs w:val="24"/>
        </w:rPr>
        <w:t>emocji).</w:t>
      </w:r>
    </w:p>
    <w:p w14:paraId="22104C0E" w14:textId="1AEF0C70" w:rsidR="004E05A8" w:rsidRPr="00390B58" w:rsidRDefault="004E05A8" w:rsidP="00B34578">
      <w:pPr>
        <w:spacing w:after="0"/>
        <w:rPr>
          <w:rFonts w:ascii="Times New Roman" w:hAnsi="Times New Roman"/>
          <w:sz w:val="24"/>
          <w:szCs w:val="24"/>
        </w:rPr>
      </w:pPr>
    </w:p>
    <w:sectPr w:rsidR="004E05A8" w:rsidRPr="00390B58" w:rsidSect="001419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751F2" w14:textId="77777777" w:rsidR="00A6474C" w:rsidRDefault="00A6474C" w:rsidP="00665A0B">
      <w:pPr>
        <w:spacing w:after="0" w:line="240" w:lineRule="auto"/>
      </w:pPr>
      <w:r>
        <w:separator/>
      </w:r>
    </w:p>
  </w:endnote>
  <w:endnote w:type="continuationSeparator" w:id="0">
    <w:p w14:paraId="01EE8281" w14:textId="77777777" w:rsidR="00A6474C" w:rsidRDefault="00A6474C" w:rsidP="0066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AF52D" w14:textId="77777777" w:rsidR="00665A0B" w:rsidRDefault="00665A0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5C4000">
      <w:rPr>
        <w:noProof/>
      </w:rPr>
      <w:t>2</w:t>
    </w:r>
    <w:r>
      <w:fldChar w:fldCharType="end"/>
    </w:r>
  </w:p>
  <w:p w14:paraId="579C810F" w14:textId="77777777" w:rsidR="00665A0B" w:rsidRDefault="00665A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E5C4B" w14:textId="77777777" w:rsidR="00A6474C" w:rsidRDefault="00A6474C" w:rsidP="00665A0B">
      <w:pPr>
        <w:spacing w:after="0" w:line="240" w:lineRule="auto"/>
      </w:pPr>
      <w:r>
        <w:separator/>
      </w:r>
    </w:p>
  </w:footnote>
  <w:footnote w:type="continuationSeparator" w:id="0">
    <w:p w14:paraId="7E97E787" w14:textId="77777777" w:rsidR="00A6474C" w:rsidRDefault="00A6474C" w:rsidP="00665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254"/>
    <w:multiLevelType w:val="hybridMultilevel"/>
    <w:tmpl w:val="50483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700FD"/>
    <w:multiLevelType w:val="hybridMultilevel"/>
    <w:tmpl w:val="78AE3230"/>
    <w:lvl w:ilvl="0" w:tplc="CD94312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6376F6"/>
    <w:multiLevelType w:val="hybridMultilevel"/>
    <w:tmpl w:val="0938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32BF"/>
    <w:multiLevelType w:val="hybridMultilevel"/>
    <w:tmpl w:val="F71CB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26B2"/>
    <w:multiLevelType w:val="hybridMultilevel"/>
    <w:tmpl w:val="4A6A4E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076913"/>
    <w:multiLevelType w:val="hybridMultilevel"/>
    <w:tmpl w:val="A3CE7F50"/>
    <w:lvl w:ilvl="0" w:tplc="E8967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9A2B6D"/>
    <w:multiLevelType w:val="hybridMultilevel"/>
    <w:tmpl w:val="5FA46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65309"/>
    <w:multiLevelType w:val="hybridMultilevel"/>
    <w:tmpl w:val="7ACAF61E"/>
    <w:lvl w:ilvl="0" w:tplc="A0044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B1"/>
    <w:rsid w:val="0009593E"/>
    <w:rsid w:val="000E0D59"/>
    <w:rsid w:val="000F4D68"/>
    <w:rsid w:val="000F5AF1"/>
    <w:rsid w:val="00141907"/>
    <w:rsid w:val="001A1357"/>
    <w:rsid w:val="001A17AA"/>
    <w:rsid w:val="001C5F5B"/>
    <w:rsid w:val="001F3FC2"/>
    <w:rsid w:val="001F5A61"/>
    <w:rsid w:val="002014FF"/>
    <w:rsid w:val="00295583"/>
    <w:rsid w:val="002C2153"/>
    <w:rsid w:val="003614E2"/>
    <w:rsid w:val="00384B15"/>
    <w:rsid w:val="00390B58"/>
    <w:rsid w:val="003F4254"/>
    <w:rsid w:val="00444877"/>
    <w:rsid w:val="004739E2"/>
    <w:rsid w:val="00497DCE"/>
    <w:rsid w:val="004A243E"/>
    <w:rsid w:val="004C3FD7"/>
    <w:rsid w:val="004E05A8"/>
    <w:rsid w:val="004E187A"/>
    <w:rsid w:val="005667CA"/>
    <w:rsid w:val="005A00CC"/>
    <w:rsid w:val="005A103A"/>
    <w:rsid w:val="005B682D"/>
    <w:rsid w:val="005C4000"/>
    <w:rsid w:val="006262C7"/>
    <w:rsid w:val="006321CE"/>
    <w:rsid w:val="00634C98"/>
    <w:rsid w:val="00663FFC"/>
    <w:rsid w:val="00665A0B"/>
    <w:rsid w:val="0068028C"/>
    <w:rsid w:val="00691E24"/>
    <w:rsid w:val="006A0848"/>
    <w:rsid w:val="006D32DD"/>
    <w:rsid w:val="007040D5"/>
    <w:rsid w:val="00723DD2"/>
    <w:rsid w:val="00737AD0"/>
    <w:rsid w:val="00740AE9"/>
    <w:rsid w:val="007A2914"/>
    <w:rsid w:val="007B11FC"/>
    <w:rsid w:val="007B3ECA"/>
    <w:rsid w:val="007C4F28"/>
    <w:rsid w:val="007E3123"/>
    <w:rsid w:val="007F683F"/>
    <w:rsid w:val="00807DB1"/>
    <w:rsid w:val="00823E79"/>
    <w:rsid w:val="00861BD1"/>
    <w:rsid w:val="00863DD5"/>
    <w:rsid w:val="00874A24"/>
    <w:rsid w:val="008C1360"/>
    <w:rsid w:val="009869DC"/>
    <w:rsid w:val="009C35FD"/>
    <w:rsid w:val="009D2C7F"/>
    <w:rsid w:val="009E7EB3"/>
    <w:rsid w:val="00A46E8A"/>
    <w:rsid w:val="00A6474C"/>
    <w:rsid w:val="00AD5E47"/>
    <w:rsid w:val="00AF3480"/>
    <w:rsid w:val="00B07C4E"/>
    <w:rsid w:val="00B172D4"/>
    <w:rsid w:val="00B332BC"/>
    <w:rsid w:val="00B34578"/>
    <w:rsid w:val="00B80603"/>
    <w:rsid w:val="00B81E37"/>
    <w:rsid w:val="00BA057E"/>
    <w:rsid w:val="00C34D79"/>
    <w:rsid w:val="00C552B5"/>
    <w:rsid w:val="00C57759"/>
    <w:rsid w:val="00C606A5"/>
    <w:rsid w:val="00C9115D"/>
    <w:rsid w:val="00CC19A3"/>
    <w:rsid w:val="00CD7964"/>
    <w:rsid w:val="00D27474"/>
    <w:rsid w:val="00D409F5"/>
    <w:rsid w:val="00DA7071"/>
    <w:rsid w:val="00E20B62"/>
    <w:rsid w:val="00E421F2"/>
    <w:rsid w:val="00E51466"/>
    <w:rsid w:val="00E7229B"/>
    <w:rsid w:val="00E772F0"/>
    <w:rsid w:val="00EC110E"/>
    <w:rsid w:val="00EF7B9B"/>
    <w:rsid w:val="00F0320D"/>
    <w:rsid w:val="00F653D6"/>
    <w:rsid w:val="00F95254"/>
    <w:rsid w:val="00FA2D9A"/>
    <w:rsid w:val="00FB7665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0CA1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B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9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5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5A0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5A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5A0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5A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B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9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5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5A0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5A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5A0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5A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CCA6-2900-49F5-B0BB-2CD40E96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Borkowski</dc:creator>
  <cp:lastModifiedBy>Katarzyna Kozak</cp:lastModifiedBy>
  <cp:revision>2</cp:revision>
  <cp:lastPrinted>2019-05-20T09:33:00Z</cp:lastPrinted>
  <dcterms:created xsi:type="dcterms:W3CDTF">2021-06-15T10:09:00Z</dcterms:created>
  <dcterms:modified xsi:type="dcterms:W3CDTF">2021-06-15T10:09:00Z</dcterms:modified>
</cp:coreProperties>
</file>