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1119"/>
        <w:gridCol w:w="15"/>
        <w:gridCol w:w="142"/>
        <w:gridCol w:w="425"/>
        <w:gridCol w:w="567"/>
        <w:gridCol w:w="262"/>
        <w:gridCol w:w="22"/>
        <w:gridCol w:w="142"/>
        <w:gridCol w:w="141"/>
        <w:gridCol w:w="567"/>
        <w:gridCol w:w="1276"/>
        <w:gridCol w:w="142"/>
        <w:gridCol w:w="367"/>
        <w:gridCol w:w="1476"/>
        <w:gridCol w:w="1257"/>
        <w:gridCol w:w="570"/>
        <w:gridCol w:w="1716"/>
        <w:gridCol w:w="127"/>
        <w:gridCol w:w="71"/>
      </w:tblGrid>
      <w:tr w:rsidR="00136DB2" w:rsidRPr="00552936" w:rsidTr="00E70453">
        <w:trPr>
          <w:trHeight w:val="509"/>
        </w:trPr>
        <w:tc>
          <w:tcPr>
            <w:tcW w:w="1043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br w:type="page"/>
            </w:r>
            <w:r w:rsidRPr="00552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136DB2" w:rsidRPr="00552936" w:rsidTr="00E70453">
        <w:trPr>
          <w:trHeight w:val="454"/>
        </w:trPr>
        <w:tc>
          <w:tcPr>
            <w:tcW w:w="470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ł</w:t>
            </w:r>
            <w:bookmarkStart w:id="0" w:name="_GoBack"/>
            <w:bookmarkEnd w:id="0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aciński</w:t>
            </w:r>
          </w:p>
        </w:tc>
      </w:tr>
      <w:tr w:rsidR="00136DB2" w:rsidRPr="00552936" w:rsidTr="00E70453">
        <w:trPr>
          <w:trHeight w:val="454"/>
        </w:trPr>
        <w:tc>
          <w:tcPr>
            <w:tcW w:w="34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Nazwa</w:t>
            </w:r>
            <w:proofErr w:type="spellEnd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0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Latin</w:t>
            </w:r>
          </w:p>
        </w:tc>
      </w:tr>
      <w:tr w:rsidR="00136DB2" w:rsidRPr="00552936" w:rsidTr="00E70453">
        <w:trPr>
          <w:trHeight w:val="454"/>
        </w:trPr>
        <w:tc>
          <w:tcPr>
            <w:tcW w:w="2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136DB2" w:rsidRPr="00552936" w:rsidTr="00E70453">
        <w:trPr>
          <w:trHeight w:val="454"/>
        </w:trPr>
        <w:tc>
          <w:tcPr>
            <w:tcW w:w="669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Filologia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sp. </w:t>
            </w: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listyka</w:t>
            </w:r>
          </w:p>
        </w:tc>
      </w:tr>
      <w:tr w:rsidR="00136DB2" w:rsidRPr="00552936" w:rsidTr="00E70453">
        <w:trPr>
          <w:trHeight w:val="454"/>
        </w:trPr>
        <w:tc>
          <w:tcPr>
            <w:tcW w:w="272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SJO</w:t>
            </w:r>
          </w:p>
        </w:tc>
      </w:tr>
      <w:tr w:rsidR="00136DB2" w:rsidRPr="00552936" w:rsidTr="00E70453">
        <w:trPr>
          <w:trHeight w:val="454"/>
        </w:trPr>
        <w:tc>
          <w:tcPr>
            <w:tcW w:w="795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136DB2" w:rsidRPr="00552936" w:rsidTr="00E70453">
        <w:trPr>
          <w:trHeight w:val="454"/>
        </w:trPr>
        <w:tc>
          <w:tcPr>
            <w:tcW w:w="795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ziom</w:t>
            </w:r>
            <w:proofErr w:type="spellEnd"/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modułu kształcenia (np. pierwszego lub drugiego stopnia): </w:t>
            </w:r>
          </w:p>
        </w:tc>
        <w:tc>
          <w:tcPr>
            <w:tcW w:w="24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136DB2" w:rsidRPr="00552936" w:rsidTr="00E70453">
        <w:trPr>
          <w:trHeight w:val="454"/>
        </w:trPr>
        <w:tc>
          <w:tcPr>
            <w:tcW w:w="17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0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Pierwszy</w:t>
            </w:r>
          </w:p>
        </w:tc>
      </w:tr>
      <w:tr w:rsidR="00136DB2" w:rsidRPr="00552936" w:rsidTr="00E70453">
        <w:trPr>
          <w:trHeight w:val="454"/>
        </w:trPr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Pierwszy</w:t>
            </w:r>
          </w:p>
        </w:tc>
      </w:tr>
      <w:tr w:rsidR="00136DB2" w:rsidRPr="00552936" w:rsidTr="00E70453">
        <w:trPr>
          <w:trHeight w:val="454"/>
        </w:trPr>
        <w:tc>
          <w:tcPr>
            <w:tcW w:w="28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6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</w:t>
            </w:r>
          </w:p>
        </w:tc>
      </w:tr>
      <w:tr w:rsidR="00136DB2" w:rsidRPr="00552936" w:rsidTr="00E70453">
        <w:trPr>
          <w:trHeight w:val="454"/>
        </w:trPr>
        <w:tc>
          <w:tcPr>
            <w:tcW w:w="48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5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Mgr Justyna Dawidowicz-Polak</w:t>
            </w:r>
          </w:p>
        </w:tc>
      </w:tr>
      <w:tr w:rsidR="00136DB2" w:rsidRPr="00552936" w:rsidTr="00E70453">
        <w:trPr>
          <w:trHeight w:val="454"/>
        </w:trPr>
        <w:tc>
          <w:tcPr>
            <w:tcW w:w="258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36DB2" w:rsidRPr="00714309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8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Osi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DD1E15">
              <w:rPr>
                <w:rFonts w:ascii="Arial" w:hAnsi="Arial" w:cs="Arial"/>
                <w:sz w:val="20"/>
                <w:szCs w:val="20"/>
              </w:rPr>
              <w:t>gni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cie j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zykowej kompetencji gramatycznej i leksykalnej, umo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DD1E15">
              <w:rPr>
                <w:rFonts w:ascii="Arial" w:hAnsi="Arial" w:cs="Arial"/>
                <w:sz w:val="20"/>
                <w:szCs w:val="20"/>
              </w:rPr>
              <w:t>liwiaj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DD1E15">
              <w:rPr>
                <w:rFonts w:ascii="Arial" w:hAnsi="Arial" w:cs="Arial"/>
                <w:sz w:val="20"/>
                <w:szCs w:val="20"/>
              </w:rPr>
              <w:t>cej analiz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formaln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DD1E15">
              <w:rPr>
                <w:rFonts w:ascii="Arial" w:hAnsi="Arial" w:cs="Arial"/>
                <w:sz w:val="20"/>
                <w:szCs w:val="20"/>
              </w:rPr>
              <w:t>i tre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DD1E15">
              <w:rPr>
                <w:rFonts w:ascii="Arial" w:hAnsi="Arial" w:cs="Arial"/>
                <w:sz w:val="20"/>
                <w:szCs w:val="20"/>
              </w:rPr>
              <w:t>ciow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DD1E15">
              <w:rPr>
                <w:rFonts w:ascii="Arial" w:hAnsi="Arial" w:cs="Arial"/>
                <w:sz w:val="20"/>
                <w:szCs w:val="20"/>
              </w:rPr>
              <w:t>łaci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ń</w:t>
            </w:r>
            <w:r w:rsidRPr="00DD1E15">
              <w:rPr>
                <w:rFonts w:ascii="Arial" w:hAnsi="Arial" w:cs="Arial"/>
                <w:sz w:val="20"/>
                <w:szCs w:val="20"/>
              </w:rPr>
              <w:t xml:space="preserve">skich pisanych tekstów 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ź</w:t>
            </w:r>
            <w:r w:rsidRPr="00DD1E15">
              <w:rPr>
                <w:rFonts w:ascii="Arial" w:hAnsi="Arial" w:cs="Arial"/>
                <w:sz w:val="20"/>
                <w:szCs w:val="20"/>
              </w:rPr>
              <w:t>ródłowych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Na tym etapie interakcji student powinien: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· Poznawa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DD1E15">
              <w:rPr>
                <w:rFonts w:ascii="Arial" w:hAnsi="Arial" w:cs="Arial"/>
                <w:sz w:val="20"/>
                <w:szCs w:val="20"/>
              </w:rPr>
              <w:t>podstawowe zjawiska gramatyczne w zakresie składni i fleksji oraz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leksyki łaci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ń</w:t>
            </w:r>
            <w:r w:rsidRPr="00DD1E15">
              <w:rPr>
                <w:rFonts w:ascii="Arial" w:hAnsi="Arial" w:cs="Arial"/>
                <w:sz w:val="20"/>
                <w:szCs w:val="20"/>
              </w:rPr>
              <w:t>skiej oraz utrwala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DD1E15">
              <w:rPr>
                <w:rFonts w:ascii="Arial" w:hAnsi="Arial" w:cs="Arial"/>
                <w:sz w:val="20"/>
                <w:szCs w:val="20"/>
              </w:rPr>
              <w:t>zdobyt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DD1E15">
              <w:rPr>
                <w:rFonts w:ascii="Arial" w:hAnsi="Arial" w:cs="Arial"/>
                <w:sz w:val="20"/>
                <w:szCs w:val="20"/>
              </w:rPr>
              <w:t>wiedz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· Dostrzega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DD1E15">
              <w:rPr>
                <w:rFonts w:ascii="Arial" w:hAnsi="Arial" w:cs="Arial"/>
                <w:sz w:val="20"/>
                <w:szCs w:val="20"/>
              </w:rPr>
              <w:t>zwi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DD1E15">
              <w:rPr>
                <w:rFonts w:ascii="Arial" w:hAnsi="Arial" w:cs="Arial"/>
                <w:sz w:val="20"/>
                <w:szCs w:val="20"/>
              </w:rPr>
              <w:t>zki mi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dzy j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zykiem łaci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ń</w:t>
            </w:r>
            <w:r w:rsidRPr="00DD1E15">
              <w:rPr>
                <w:rFonts w:ascii="Arial" w:hAnsi="Arial" w:cs="Arial"/>
                <w:sz w:val="20"/>
                <w:szCs w:val="20"/>
              </w:rPr>
              <w:t>skim a europejskimi j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zykami</w:t>
            </w:r>
          </w:p>
          <w:p w:rsidR="00136DB2" w:rsidRPr="00DD1E1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nowo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DD1E15">
              <w:rPr>
                <w:rFonts w:ascii="Arial" w:hAnsi="Arial" w:cs="Arial"/>
                <w:sz w:val="20"/>
                <w:szCs w:val="20"/>
              </w:rPr>
              <w:t>ytnymi</w:t>
            </w:r>
          </w:p>
          <w:p w:rsidR="00136DB2" w:rsidRPr="00E06B57" w:rsidRDefault="00136DB2" w:rsidP="00E7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E15">
              <w:rPr>
                <w:rFonts w:ascii="Arial" w:hAnsi="Arial" w:cs="Arial"/>
                <w:sz w:val="20"/>
                <w:szCs w:val="20"/>
              </w:rPr>
              <w:t>· Zdobywa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DD1E15">
              <w:rPr>
                <w:rFonts w:ascii="Arial" w:hAnsi="Arial" w:cs="Arial"/>
                <w:sz w:val="20"/>
                <w:szCs w:val="20"/>
              </w:rPr>
              <w:t>i doskonali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DD1E15">
              <w:rPr>
                <w:rFonts w:ascii="Arial" w:hAnsi="Arial" w:cs="Arial"/>
                <w:sz w:val="20"/>
                <w:szCs w:val="20"/>
              </w:rPr>
              <w:t>umiej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DD1E15">
              <w:rPr>
                <w:rFonts w:ascii="Arial" w:hAnsi="Arial" w:cs="Arial"/>
                <w:sz w:val="20"/>
                <w:szCs w:val="20"/>
              </w:rPr>
              <w:t>tno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ść </w:t>
            </w:r>
            <w:r w:rsidRPr="00DD1E15">
              <w:rPr>
                <w:rFonts w:ascii="Arial" w:hAnsi="Arial" w:cs="Arial"/>
                <w:sz w:val="20"/>
                <w:szCs w:val="20"/>
              </w:rPr>
              <w:t>tłumaczenia zda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 xml:space="preserve">ń </w:t>
            </w:r>
            <w:r w:rsidRPr="00DD1E15">
              <w:rPr>
                <w:rFonts w:ascii="Arial" w:hAnsi="Arial" w:cs="Arial"/>
                <w:sz w:val="20"/>
                <w:szCs w:val="20"/>
              </w:rPr>
              <w:t>i tekstów ci</w:t>
            </w:r>
            <w:r w:rsidRPr="00DD1E15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DD1E15">
              <w:rPr>
                <w:rFonts w:ascii="Arial" w:hAnsi="Arial" w:cs="Arial"/>
                <w:sz w:val="20"/>
                <w:szCs w:val="20"/>
              </w:rPr>
              <w:t>głych</w:t>
            </w:r>
          </w:p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454"/>
        </w:trPr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kształcenia</w:t>
            </w:r>
          </w:p>
        </w:tc>
        <w:tc>
          <w:tcPr>
            <w:tcW w:w="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454"/>
        </w:trPr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290"/>
        </w:trPr>
        <w:tc>
          <w:tcPr>
            <w:tcW w:w="1164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 xml:space="preserve"> Student ma podstawową wiedzę o miejscu i znaczeniu nauk humanistycznych w systemie nauk oraz o ich specyfice przedmiotowej i metodologicznej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458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zna elementarną terminologię nauk filologicznych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290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K_W07</w:t>
            </w:r>
          </w:p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ma podstawową wiedzę na temat analizy i interpretacji tekstów, rozumie  podstawowe metody  analizy krytycznej tekstu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454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290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</w:t>
            </w:r>
            <w:r w:rsidRPr="00552936">
              <w:rPr>
                <w:rFonts w:ascii="Arial" w:hAnsi="Arial" w:cs="Arial"/>
                <w:sz w:val="20"/>
                <w:szCs w:val="20"/>
              </w:rPr>
              <w:t xml:space="preserve">szukiwać, analizować i użytkować informacje wykorzystując różne źródła 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290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K_U09</w:t>
            </w: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umie samodzielnie zdobywać wiedzę i rozwijać swoje umiejętnośc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rPr>
          <w:trHeight w:val="454"/>
        </w:trPr>
        <w:tc>
          <w:tcPr>
            <w:tcW w:w="11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33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potrafi pracować w grupie pełniąc w niej różne role (zmienność ról)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40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potrafi kierować małym zespołem przyjmując odpowiedzialność za efekty własnej pracy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40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lastRenderedPageBreak/>
              <w:t>K_K03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potrafi odpowiednio określić priorytety służące realizacji określonych zadań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49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K_K05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posiada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3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K_K06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uczestniczy w życiu kulturalnym i korzysta z różnych jego form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8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K_K07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ma świadomość poziomu swojej wiedzy i umiejętności, rozumie potrzebę ciągłego dokształcenia się zawodowego i rozwoju osobistego, dokonuje samooceny własnych kompetencji i doskonali umiejętności, wyznacza kierunki własnego rozwoju i kształcenia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60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K_K08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dysponuje umiejętnościami komunikacyjnymi, społecznymi, interpersonalnymi i interkulturowymi, które predysponują do pracy w sektorze kultury, oświaty, mediów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136DB2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trHeight w:val="58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K_K09</w:t>
            </w:r>
          </w:p>
        </w:tc>
        <w:tc>
          <w:tcPr>
            <w:tcW w:w="7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charakteryzyje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 xml:space="preserve"> się wrażliwością etyczną,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emaptią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>, otwartością, refleksyjnością oraz postawami prospołecznymi i poczuciem odpowiedzialności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6DB2" w:rsidRPr="00552936" w:rsidRDefault="00136DB2" w:rsidP="00E70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2" w:rsidRPr="00552936" w:rsidTr="00E70453">
        <w:trPr>
          <w:trHeight w:val="454"/>
        </w:trPr>
        <w:tc>
          <w:tcPr>
            <w:tcW w:w="2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 xml:space="preserve"> ćwiczenia (30 godz.)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studia stacjonarne, (15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godz.) studia niestacjonarne</w:t>
            </w:r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136DB2" w:rsidRPr="00552936" w:rsidTr="00E70453">
        <w:trPr>
          <w:trHeight w:val="4526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DB2" w:rsidRPr="00552936" w:rsidRDefault="00136DB2" w:rsidP="00E704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sz w:val="20"/>
                <w:szCs w:val="20"/>
              </w:rPr>
              <w:t>Ćwiczenia:</w:t>
            </w:r>
          </w:p>
          <w:p w:rsidR="00136DB2" w:rsidRPr="00552936" w:rsidRDefault="00136DB2" w:rsidP="00E70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W zakresie fleksji: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Odmiana przez przypadki rzeczowników deklinacji I-V oraz przymiotników deklinacji I-III;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Formy podstawowe czasowników; supinum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 xml:space="preserve">Tworzenie form osobowych czasowników koniugacji I-IV w trybie oznajmującym (indicativus) oraz w czasach: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praesens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>, imperfectum, perfectum, plusquamperfectum, futurum I; II w stronie czynnej i biernej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Tworzenie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imiesłowów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participium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praesentis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activi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participium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perfecti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passiva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participium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futuri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activi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gerundivum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Bezokoliczniki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infinitivus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praesentis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activi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, passive;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infinitivus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perfecti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active; passive;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infinitivus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futuri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active, passive);</w:t>
            </w:r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Liczebniki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główne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  <w:lang w:val="en-US"/>
              </w:rPr>
              <w:t>porządkowe</w:t>
            </w:r>
            <w:proofErr w:type="spellEnd"/>
          </w:p>
          <w:p w:rsidR="00136DB2" w:rsidRPr="00552936" w:rsidRDefault="00136DB2" w:rsidP="00136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Zaimki osobowe i wskazujące;</w:t>
            </w:r>
          </w:p>
          <w:p w:rsidR="00136DB2" w:rsidRPr="00552936" w:rsidRDefault="00136DB2" w:rsidP="00E70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W zakresie składni:</w:t>
            </w:r>
          </w:p>
          <w:p w:rsidR="00136DB2" w:rsidRPr="00552936" w:rsidRDefault="00136DB2" w:rsidP="00136D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 xml:space="preserve">Accusativus cum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infinivo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6DB2" w:rsidRPr="00552936" w:rsidRDefault="00136DB2" w:rsidP="00136D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 xml:space="preserve">Nominativus cum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infinitivo</w:t>
            </w:r>
            <w:proofErr w:type="spellEnd"/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136DB2" w:rsidRPr="00552936" w:rsidTr="00E70453">
        <w:trPr>
          <w:trHeight w:val="373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DB2" w:rsidRPr="00552936" w:rsidRDefault="00136DB2" w:rsidP="00E70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 xml:space="preserve">St.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Wilczynski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 xml:space="preserve">, T. </w:t>
            </w:r>
            <w:proofErr w:type="spellStart"/>
            <w:r w:rsidRPr="00552936">
              <w:rPr>
                <w:rFonts w:ascii="Arial" w:hAnsi="Arial" w:cs="Arial"/>
                <w:sz w:val="20"/>
                <w:szCs w:val="20"/>
              </w:rPr>
              <w:t>Zarych</w:t>
            </w:r>
            <w:proofErr w:type="spellEnd"/>
            <w:r w:rsidRPr="0055293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2936">
              <w:rPr>
                <w:rFonts w:ascii="Arial" w:hAnsi="Arial" w:cs="Arial"/>
                <w:i/>
                <w:sz w:val="20"/>
                <w:szCs w:val="20"/>
              </w:rPr>
              <w:t>Rudimenta</w:t>
            </w:r>
            <w:proofErr w:type="spellEnd"/>
            <w:r w:rsidRPr="005529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936">
              <w:rPr>
                <w:rFonts w:ascii="Arial" w:hAnsi="Arial" w:cs="Arial"/>
                <w:i/>
                <w:sz w:val="20"/>
                <w:szCs w:val="20"/>
              </w:rPr>
              <w:t>Latinitatis</w:t>
            </w:r>
            <w:proofErr w:type="spellEnd"/>
            <w:r w:rsidRPr="0055293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52936">
              <w:rPr>
                <w:rFonts w:ascii="Arial" w:hAnsi="Arial" w:cs="Arial"/>
                <w:i/>
                <w:sz w:val="20"/>
                <w:szCs w:val="20"/>
              </w:rPr>
              <w:t>cz.I</w:t>
            </w:r>
            <w:proofErr w:type="spellEnd"/>
            <w:r w:rsidRPr="00552936">
              <w:rPr>
                <w:rFonts w:ascii="Arial" w:hAnsi="Arial" w:cs="Arial"/>
                <w:i/>
                <w:sz w:val="20"/>
                <w:szCs w:val="20"/>
              </w:rPr>
              <w:t>, II</w:t>
            </w:r>
            <w:r w:rsidRPr="00552936">
              <w:rPr>
                <w:rFonts w:ascii="Arial" w:hAnsi="Arial" w:cs="Arial"/>
                <w:sz w:val="20"/>
                <w:szCs w:val="20"/>
              </w:rPr>
              <w:t>, Wydawnictwo Uniwersytetu Wrocławskiego, Wrocław 1998;</w:t>
            </w:r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136DB2" w:rsidRPr="00552936" w:rsidTr="00E70453">
        <w:trPr>
          <w:trHeight w:val="287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>Słowniki łacińsko-polskie</w:t>
            </w:r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136DB2" w:rsidRPr="00552936" w:rsidTr="00E70453">
        <w:trPr>
          <w:trHeight w:val="936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DB2" w:rsidRPr="00552936" w:rsidRDefault="00136DB2" w:rsidP="00E70453">
            <w:pPr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color w:val="000000"/>
                <w:sz w:val="20"/>
                <w:szCs w:val="20"/>
              </w:rPr>
              <w:t>Wykład tradycyjny, połączony z ćwiczeniami gramatycznymi i leksykalnymi, utrwalający poznany materiał,</w:t>
            </w:r>
            <w:r w:rsidRPr="005529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2936">
              <w:rPr>
                <w:rFonts w:ascii="Arial" w:hAnsi="Arial" w:cs="Arial"/>
                <w:sz w:val="20"/>
                <w:szCs w:val="20"/>
              </w:rPr>
              <w:t>praca indywidualna i w parach (głównie praca nad tekstami, polegająca na ich tłumaczeniu i analizie gramatycznej w zakresie fleksji i składni)</w:t>
            </w:r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Sposoby weryfikacji efektów kształcenia osiąganych przez studenta:</w:t>
            </w:r>
          </w:p>
        </w:tc>
      </w:tr>
      <w:tr w:rsidR="00136DB2" w:rsidRPr="00552936" w:rsidTr="00E70453">
        <w:trPr>
          <w:trHeight w:val="870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181" w:type="dxa"/>
              <w:tblInd w:w="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81"/>
            </w:tblGrid>
            <w:tr w:rsidR="00136DB2" w:rsidRPr="00552936" w:rsidTr="00E70453">
              <w:trPr>
                <w:trHeight w:val="269"/>
              </w:trPr>
              <w:tc>
                <w:tcPr>
                  <w:tcW w:w="101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DB2" w:rsidRPr="00552936" w:rsidRDefault="00136DB2" w:rsidP="00E70453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52936">
                    <w:rPr>
                      <w:rFonts w:ascii="Arial" w:eastAsia="Times New Roman" w:hAnsi="Arial" w:cs="Arial"/>
                      <w:sz w:val="20"/>
                      <w:szCs w:val="20"/>
                    </w:rPr>
                    <w:t>Kolokwium, zawierające krótki tekst łaciński. Student ma za zadania poprawnie przetłumaczyć i zinterpretować tekst.</w:t>
                  </w:r>
                </w:p>
              </w:tc>
            </w:tr>
          </w:tbl>
          <w:p w:rsidR="00136DB2" w:rsidRPr="00552936" w:rsidRDefault="00136DB2" w:rsidP="00E7045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6DB2" w:rsidRPr="00552936" w:rsidTr="00E70453">
        <w:trPr>
          <w:trHeight w:val="454"/>
        </w:trPr>
        <w:tc>
          <w:tcPr>
            <w:tcW w:w="1043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552936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136DB2" w:rsidRPr="00552936" w:rsidTr="00E70453">
        <w:trPr>
          <w:trHeight w:val="679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DB2" w:rsidRPr="00865697" w:rsidRDefault="00136DB2" w:rsidP="00E70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36">
              <w:rPr>
                <w:rFonts w:ascii="Arial" w:hAnsi="Arial" w:cs="Arial"/>
                <w:sz w:val="20"/>
                <w:szCs w:val="20"/>
              </w:rPr>
              <w:t>Zaliczenie na ocenę na podstawie pozytywnie napisanego kolokwium zaliczeniowego, aktywności oraz uczęszczania na zajęcia</w:t>
            </w:r>
          </w:p>
        </w:tc>
      </w:tr>
      <w:tr w:rsidR="00136DB2" w:rsidRPr="006A1BB5" w:rsidTr="00E70453">
        <w:trPr>
          <w:trHeight w:val="203"/>
        </w:trPr>
        <w:tc>
          <w:tcPr>
            <w:tcW w:w="10434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136DB2" w:rsidRPr="00865697" w:rsidRDefault="00136DB2" w:rsidP="00E70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697">
              <w:rPr>
                <w:rFonts w:ascii="Arial" w:hAnsi="Arial" w:cs="Arial"/>
                <w:b/>
                <w:sz w:val="20"/>
                <w:szCs w:val="20"/>
              </w:rPr>
              <w:t>Bilans punktów ECTS: dla studiów stacjonarnych</w:t>
            </w:r>
          </w:p>
        </w:tc>
      </w:tr>
      <w:tr w:rsidR="00136DB2" w:rsidRPr="006A1BB5" w:rsidTr="00E70453">
        <w:trPr>
          <w:gridBefore w:val="1"/>
          <w:wBefore w:w="30" w:type="dxa"/>
          <w:trHeight w:val="454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6A1BB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6A1BB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136DB2" w:rsidRPr="006A1BB5" w:rsidTr="00E70453">
        <w:trPr>
          <w:gridBefore w:val="1"/>
          <w:wBefore w:w="30" w:type="dxa"/>
          <w:trHeight w:val="33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 xml:space="preserve">Udział w </w:t>
            </w:r>
            <w:r>
              <w:rPr>
                <w:rFonts w:ascii="Arial" w:hAnsi="Arial" w:cs="Arial"/>
                <w:sz w:val="20"/>
                <w:szCs w:val="20"/>
              </w:rPr>
              <w:t xml:space="preserve">ćwiczeniach 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</w:tr>
      <w:tr w:rsidR="00136DB2" w:rsidRPr="006A1BB5" w:rsidTr="00E70453">
        <w:trPr>
          <w:gridBefore w:val="1"/>
          <w:wBefore w:w="30" w:type="dxa"/>
          <w:trHeight w:val="33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Samodzielne opracowanie tekstów do analizy oraz przygotowanie się do zaliczenia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</w:t>
            </w:r>
            <w:r w:rsidRPr="006A1BB5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</w:tr>
      <w:tr w:rsidR="00136DB2" w:rsidRPr="006A1BB5" w:rsidTr="00E70453">
        <w:trPr>
          <w:gridBefore w:val="1"/>
          <w:wBefore w:w="30" w:type="dxa"/>
          <w:trHeight w:val="36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Pr="006A1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godz.</w:t>
            </w:r>
          </w:p>
        </w:tc>
      </w:tr>
      <w:tr w:rsidR="00136DB2" w:rsidRPr="006A1BB5" w:rsidTr="00E70453">
        <w:trPr>
          <w:gridBefore w:val="1"/>
          <w:wBefore w:w="30" w:type="dxa"/>
          <w:trHeight w:val="36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A1BB5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136DB2" w:rsidRPr="006A1BB5" w:rsidTr="00E70453">
        <w:trPr>
          <w:gridBefore w:val="1"/>
          <w:wBefore w:w="30" w:type="dxa"/>
          <w:trHeight w:val="454"/>
        </w:trPr>
        <w:tc>
          <w:tcPr>
            <w:tcW w:w="10404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6A1BB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Bilans punktów ECTS: dla studiów niestacjonarnych </w:t>
            </w:r>
          </w:p>
        </w:tc>
      </w:tr>
      <w:tr w:rsidR="00136DB2" w:rsidRPr="006A1BB5" w:rsidTr="00E70453">
        <w:trPr>
          <w:gridBefore w:val="1"/>
          <w:wBefore w:w="30" w:type="dxa"/>
          <w:trHeight w:val="454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6A1BB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6DB2" w:rsidRPr="006A1BB5" w:rsidRDefault="00136DB2" w:rsidP="00E7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1BB5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136DB2" w:rsidRPr="006A1BB5" w:rsidTr="00E70453">
        <w:trPr>
          <w:gridBefore w:val="1"/>
          <w:wBefore w:w="30" w:type="dxa"/>
          <w:trHeight w:val="33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A1BB5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136DB2" w:rsidRPr="006A1BB5" w:rsidTr="00E70453">
        <w:trPr>
          <w:gridBefore w:val="1"/>
          <w:wBefore w:w="30" w:type="dxa"/>
          <w:trHeight w:val="33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Samodzielne opracowanie tekstów do analizy oraz przygotowanie się do zaliczenia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6A1BB5">
              <w:rPr>
                <w:rFonts w:ascii="Arial" w:hAnsi="Arial" w:cs="Arial"/>
                <w:sz w:val="20"/>
                <w:szCs w:val="20"/>
              </w:rPr>
              <w:t>odz</w:t>
            </w:r>
            <w:proofErr w:type="spellEnd"/>
            <w:r w:rsidRPr="006A1B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DB2" w:rsidRPr="006A1BB5" w:rsidTr="00E70453">
        <w:trPr>
          <w:gridBefore w:val="1"/>
          <w:wBefore w:w="30" w:type="dxa"/>
          <w:trHeight w:val="36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Pr="006A1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godz.</w:t>
            </w:r>
          </w:p>
        </w:tc>
      </w:tr>
      <w:tr w:rsidR="00136DB2" w:rsidRPr="006A1BB5" w:rsidTr="00E70453">
        <w:trPr>
          <w:gridBefore w:val="1"/>
          <w:wBefore w:w="30" w:type="dxa"/>
          <w:trHeight w:val="360"/>
        </w:trPr>
        <w:tc>
          <w:tcPr>
            <w:tcW w:w="518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1BB5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DB2" w:rsidRPr="006A1BB5" w:rsidRDefault="00136DB2" w:rsidP="00E70453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A1BB5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</w:tbl>
    <w:p w:rsidR="00136DB2" w:rsidRDefault="00136DB2" w:rsidP="00136DB2">
      <w:pPr>
        <w:rPr>
          <w:rFonts w:ascii="Arial" w:hAnsi="Arial" w:cs="Arial"/>
          <w:sz w:val="20"/>
          <w:szCs w:val="20"/>
        </w:rPr>
      </w:pPr>
    </w:p>
    <w:p w:rsidR="00C80AC9" w:rsidRDefault="00136DB2"/>
    <w:sectPr w:rsidR="00C8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AC"/>
    <w:multiLevelType w:val="hybridMultilevel"/>
    <w:tmpl w:val="B25A9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E562B"/>
    <w:multiLevelType w:val="hybridMultilevel"/>
    <w:tmpl w:val="0D72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3"/>
    <w:rsid w:val="00136DB2"/>
    <w:rsid w:val="00237CE5"/>
    <w:rsid w:val="007573BF"/>
    <w:rsid w:val="00B55C32"/>
    <w:rsid w:val="00E439A3"/>
    <w:rsid w:val="00E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DB2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36DB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36D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6D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6D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DB2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36DB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36D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6D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6D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2014-10-23T10:44:00Z</dcterms:created>
  <dcterms:modified xsi:type="dcterms:W3CDTF">2014-10-23T10:44:00Z</dcterms:modified>
</cp:coreProperties>
</file>